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C4205" w14:textId="20851FD9" w:rsidR="000A34D0" w:rsidRPr="005C6BE6" w:rsidRDefault="00C37ACE" w:rsidP="000A34D0">
      <w:pPr>
        <w:rPr>
          <w:b/>
          <w:sz w:val="28"/>
          <w:szCs w:val="28"/>
        </w:rPr>
      </w:pPr>
      <w:bookmarkStart w:id="0" w:name="_GoBack"/>
      <w:bookmarkEnd w:id="0"/>
      <w:r>
        <w:rPr>
          <w:b/>
          <w:sz w:val="28"/>
          <w:szCs w:val="28"/>
        </w:rPr>
        <w:t xml:space="preserve">Vermerk zur </w:t>
      </w:r>
      <w:r w:rsidR="002D0FD1">
        <w:rPr>
          <w:b/>
          <w:sz w:val="28"/>
          <w:szCs w:val="28"/>
        </w:rPr>
        <w:t xml:space="preserve">Antwort der Bundesregierung auf die Kleine Anfrage der LINKEN </w:t>
      </w:r>
      <w:r w:rsidR="00821D5E">
        <w:rPr>
          <w:b/>
          <w:sz w:val="28"/>
          <w:szCs w:val="28"/>
        </w:rPr>
        <w:t xml:space="preserve">(Ulla Jelpke u.a.) </w:t>
      </w:r>
      <w:r w:rsidR="00050DAE">
        <w:rPr>
          <w:b/>
          <w:sz w:val="28"/>
          <w:szCs w:val="28"/>
        </w:rPr>
        <w:t>zu</w:t>
      </w:r>
      <w:r w:rsidR="0016218E">
        <w:rPr>
          <w:b/>
          <w:sz w:val="28"/>
          <w:szCs w:val="28"/>
        </w:rPr>
        <w:t xml:space="preserve">r </w:t>
      </w:r>
      <w:r w:rsidR="00821D5E">
        <w:rPr>
          <w:b/>
          <w:sz w:val="28"/>
          <w:szCs w:val="28"/>
        </w:rPr>
        <w:t xml:space="preserve">ergänzenden Asylstatistik für das </w:t>
      </w:r>
      <w:r w:rsidR="00723B6B">
        <w:rPr>
          <w:b/>
          <w:sz w:val="28"/>
          <w:szCs w:val="28"/>
        </w:rPr>
        <w:t>zweite</w:t>
      </w:r>
      <w:r w:rsidR="00F31F70">
        <w:rPr>
          <w:b/>
          <w:sz w:val="28"/>
          <w:szCs w:val="28"/>
        </w:rPr>
        <w:t xml:space="preserve"> Quartal 2018</w:t>
      </w:r>
      <w:r w:rsidR="00821D5E">
        <w:rPr>
          <w:b/>
          <w:sz w:val="28"/>
          <w:szCs w:val="28"/>
        </w:rPr>
        <w:t xml:space="preserve"> </w:t>
      </w:r>
      <w:r w:rsidR="00406FC1">
        <w:rPr>
          <w:b/>
          <w:sz w:val="28"/>
          <w:szCs w:val="28"/>
        </w:rPr>
        <w:t xml:space="preserve">– Schwerpunktfragen zu Dublin-Verfahren </w:t>
      </w:r>
      <w:r w:rsidR="00821D5E">
        <w:rPr>
          <w:b/>
          <w:sz w:val="28"/>
          <w:szCs w:val="28"/>
        </w:rPr>
        <w:t>(</w:t>
      </w:r>
      <w:r w:rsidR="00C55638">
        <w:rPr>
          <w:b/>
          <w:sz w:val="28"/>
          <w:szCs w:val="28"/>
        </w:rPr>
        <w:t>BT-Drs. 19</w:t>
      </w:r>
      <w:r>
        <w:rPr>
          <w:b/>
          <w:sz w:val="28"/>
          <w:szCs w:val="28"/>
        </w:rPr>
        <w:t>/</w:t>
      </w:r>
      <w:r w:rsidR="00723B6B">
        <w:rPr>
          <w:b/>
          <w:sz w:val="28"/>
          <w:szCs w:val="28"/>
        </w:rPr>
        <w:t>3813</w:t>
      </w:r>
      <w:r>
        <w:rPr>
          <w:b/>
          <w:sz w:val="28"/>
          <w:szCs w:val="28"/>
        </w:rPr>
        <w:t xml:space="preserve">) </w:t>
      </w:r>
    </w:p>
    <w:p w14:paraId="461D8D36" w14:textId="55F531EF" w:rsidR="002F74BA" w:rsidRPr="00C157A9" w:rsidRDefault="00E95175" w:rsidP="002F74BA">
      <w:pPr>
        <w:rPr>
          <w:sz w:val="18"/>
          <w:szCs w:val="18"/>
        </w:rPr>
      </w:pPr>
      <w:r>
        <w:rPr>
          <w:sz w:val="18"/>
          <w:szCs w:val="18"/>
        </w:rPr>
        <w:t xml:space="preserve">Dr. </w:t>
      </w:r>
      <w:r w:rsidR="00F63B1D">
        <w:rPr>
          <w:sz w:val="18"/>
          <w:szCs w:val="18"/>
        </w:rPr>
        <w:t>Thomas Hohlfeld, Referent für Migration/Integration/Flüchtlinge</w:t>
      </w:r>
      <w:r w:rsidR="002F74BA" w:rsidRPr="00C157A9">
        <w:rPr>
          <w:sz w:val="18"/>
          <w:szCs w:val="18"/>
        </w:rPr>
        <w:t>, Fraktion DIE LINKE. im Bundestag, 227-51122</w:t>
      </w:r>
      <w:r w:rsidR="00AA55E4">
        <w:rPr>
          <w:sz w:val="18"/>
          <w:szCs w:val="18"/>
        </w:rPr>
        <w:t xml:space="preserve">, </w:t>
      </w:r>
      <w:r w:rsidR="00723B6B">
        <w:rPr>
          <w:sz w:val="18"/>
          <w:szCs w:val="18"/>
        </w:rPr>
        <w:t>31</w:t>
      </w:r>
      <w:r w:rsidR="00C93E0F">
        <w:rPr>
          <w:sz w:val="18"/>
          <w:szCs w:val="18"/>
        </w:rPr>
        <w:t>.</w:t>
      </w:r>
      <w:r w:rsidR="00723B6B">
        <w:rPr>
          <w:sz w:val="18"/>
          <w:szCs w:val="18"/>
        </w:rPr>
        <w:t>8</w:t>
      </w:r>
      <w:r w:rsidR="0016218E">
        <w:rPr>
          <w:sz w:val="18"/>
          <w:szCs w:val="18"/>
        </w:rPr>
        <w:t>.201</w:t>
      </w:r>
      <w:r w:rsidR="003A04F5">
        <w:rPr>
          <w:sz w:val="18"/>
          <w:szCs w:val="18"/>
        </w:rPr>
        <w:t>8</w:t>
      </w:r>
    </w:p>
    <w:p w14:paraId="5F83E4A4" w14:textId="77777777" w:rsidR="00C55638" w:rsidRDefault="00C55638" w:rsidP="00821D5E">
      <w:pPr>
        <w:rPr>
          <w:b/>
          <w:sz w:val="24"/>
        </w:rPr>
      </w:pPr>
    </w:p>
    <w:p w14:paraId="651B04A3" w14:textId="77777777" w:rsidR="00071651" w:rsidRPr="009608B3" w:rsidRDefault="00071651" w:rsidP="00821D5E">
      <w:pPr>
        <w:rPr>
          <w:b/>
          <w:sz w:val="24"/>
        </w:rPr>
      </w:pPr>
      <w:r w:rsidRPr="009608B3">
        <w:rPr>
          <w:b/>
          <w:sz w:val="24"/>
        </w:rPr>
        <w:t xml:space="preserve">Meldungen: </w:t>
      </w:r>
    </w:p>
    <w:p w14:paraId="48AC8A95" w14:textId="18C1A14B" w:rsidR="00DA626A" w:rsidRPr="00DA626A" w:rsidRDefault="00DA626A" w:rsidP="00DA626A">
      <w:pPr>
        <w:pStyle w:val="Listenabsatz"/>
        <w:numPr>
          <w:ilvl w:val="0"/>
          <w:numId w:val="22"/>
        </w:numPr>
        <w:rPr>
          <w:b/>
          <w:sz w:val="24"/>
        </w:rPr>
      </w:pPr>
      <w:r w:rsidRPr="00DA626A">
        <w:rPr>
          <w:b/>
          <w:sz w:val="24"/>
        </w:rPr>
        <w:t xml:space="preserve">Überstellungsquote </w:t>
      </w:r>
      <w:r w:rsidR="00DA7BF7">
        <w:rPr>
          <w:b/>
          <w:sz w:val="24"/>
        </w:rPr>
        <w:t>im Dublin-Verfahren steigt weiter auf 25%</w:t>
      </w:r>
    </w:p>
    <w:p w14:paraId="5BC7396F" w14:textId="0C5C6B32" w:rsidR="00DA626A" w:rsidRPr="00DA626A" w:rsidRDefault="00DA7BF7" w:rsidP="00DA626A">
      <w:pPr>
        <w:pStyle w:val="Listenabsatz"/>
        <w:numPr>
          <w:ilvl w:val="0"/>
          <w:numId w:val="22"/>
        </w:numPr>
        <w:rPr>
          <w:b/>
          <w:sz w:val="24"/>
        </w:rPr>
      </w:pPr>
      <w:r>
        <w:rPr>
          <w:b/>
          <w:sz w:val="24"/>
        </w:rPr>
        <w:t xml:space="preserve">Kaum Überstellungen nach Griechenland und Bulgarien - </w:t>
      </w:r>
      <w:r w:rsidRPr="00DA626A">
        <w:rPr>
          <w:b/>
          <w:sz w:val="24"/>
        </w:rPr>
        <w:t>Gerichte verhindern dies häufig</w:t>
      </w:r>
      <w:r>
        <w:rPr>
          <w:b/>
          <w:sz w:val="24"/>
        </w:rPr>
        <w:t xml:space="preserve">, weiterhin keine Überstellung nach Ungarn </w:t>
      </w:r>
    </w:p>
    <w:p w14:paraId="40731B3F" w14:textId="50891DD4" w:rsidR="00DA626A" w:rsidRDefault="00DA626A" w:rsidP="00DA626A">
      <w:pPr>
        <w:pStyle w:val="Listenabsatz"/>
        <w:numPr>
          <w:ilvl w:val="0"/>
          <w:numId w:val="22"/>
        </w:numPr>
        <w:rPr>
          <w:b/>
          <w:sz w:val="24"/>
        </w:rPr>
      </w:pPr>
      <w:r w:rsidRPr="00DA626A">
        <w:rPr>
          <w:b/>
          <w:sz w:val="24"/>
        </w:rPr>
        <w:t xml:space="preserve">Familienzusammenführungen aus Griechenland im Rahmen des Dublin-Systems werden in der Praxis </w:t>
      </w:r>
      <w:r w:rsidR="00DA7BF7">
        <w:rPr>
          <w:b/>
          <w:sz w:val="24"/>
        </w:rPr>
        <w:t xml:space="preserve">erheblich </w:t>
      </w:r>
      <w:r w:rsidRPr="00DA626A">
        <w:rPr>
          <w:b/>
          <w:sz w:val="24"/>
        </w:rPr>
        <w:t>erschwert</w:t>
      </w:r>
    </w:p>
    <w:p w14:paraId="2358B0D8" w14:textId="761C5CBB" w:rsidR="003F0E48" w:rsidRDefault="00BF7342" w:rsidP="00DA626A">
      <w:pPr>
        <w:pStyle w:val="Listenabsatz"/>
        <w:numPr>
          <w:ilvl w:val="0"/>
          <w:numId w:val="22"/>
        </w:numPr>
        <w:rPr>
          <w:b/>
          <w:sz w:val="24"/>
        </w:rPr>
      </w:pPr>
      <w:r>
        <w:rPr>
          <w:b/>
          <w:sz w:val="24"/>
        </w:rPr>
        <w:t xml:space="preserve">Nationale </w:t>
      </w:r>
      <w:r w:rsidR="003F0E48">
        <w:rPr>
          <w:b/>
          <w:sz w:val="24"/>
        </w:rPr>
        <w:t>Verwaltungsvereinbarungen mit Spanien, Griechenland und Italien jenseits des geltenden EU-Rechts!</w:t>
      </w:r>
    </w:p>
    <w:p w14:paraId="2B8160F2" w14:textId="22462D3A" w:rsidR="00E77415" w:rsidRPr="00DA626A" w:rsidRDefault="00E77415" w:rsidP="00DA626A">
      <w:pPr>
        <w:pStyle w:val="Listenabsatz"/>
        <w:numPr>
          <w:ilvl w:val="0"/>
          <w:numId w:val="22"/>
        </w:numPr>
        <w:rPr>
          <w:b/>
          <w:sz w:val="24"/>
        </w:rPr>
      </w:pPr>
      <w:r>
        <w:rPr>
          <w:b/>
          <w:sz w:val="24"/>
        </w:rPr>
        <w:t>Bis Juli 2018 gab es schon über 900 Beschwerden griechischer Behörden wegen der Verweigerung einer Familienzusammenführung nach der Dublin-Verordnung durch das BAMF</w:t>
      </w:r>
    </w:p>
    <w:p w14:paraId="498B0BA4" w14:textId="479E7339" w:rsidR="00071651" w:rsidRPr="00DA626A" w:rsidRDefault="004142AF" w:rsidP="00DA626A">
      <w:pPr>
        <w:ind w:left="360"/>
        <w:rPr>
          <w:sz w:val="24"/>
        </w:rPr>
      </w:pPr>
      <w:r w:rsidRPr="00DA626A">
        <w:rPr>
          <w:b/>
          <w:sz w:val="24"/>
        </w:rPr>
        <w:t xml:space="preserve"> </w:t>
      </w:r>
    </w:p>
    <w:p w14:paraId="3C653565" w14:textId="497ACBD8" w:rsidR="00515E66" w:rsidRDefault="00515E66" w:rsidP="00515E66">
      <w:pPr>
        <w:rPr>
          <w:sz w:val="24"/>
        </w:rPr>
      </w:pPr>
      <w:r>
        <w:rPr>
          <w:sz w:val="24"/>
        </w:rPr>
        <w:t xml:space="preserve">Bewertung durch </w:t>
      </w:r>
      <w:r w:rsidRPr="006926DD">
        <w:rPr>
          <w:b/>
          <w:sz w:val="24"/>
        </w:rPr>
        <w:t>Ulla Jelpke</w:t>
      </w:r>
      <w:r w:rsidR="00C15343">
        <w:rPr>
          <w:b/>
          <w:sz w:val="24"/>
        </w:rPr>
        <w:t>:</w:t>
      </w:r>
    </w:p>
    <w:p w14:paraId="42FEAB0B" w14:textId="77777777" w:rsidR="006926DD" w:rsidRDefault="006926DD" w:rsidP="00406FC1">
      <w:pPr>
        <w:rPr>
          <w:sz w:val="24"/>
        </w:rPr>
      </w:pPr>
    </w:p>
    <w:p w14:paraId="79ABB88B" w14:textId="5D0FB929" w:rsidR="000F337F" w:rsidRPr="000F337F" w:rsidRDefault="000F337F" w:rsidP="000F337F">
      <w:pPr>
        <w:rPr>
          <w:i/>
          <w:sz w:val="24"/>
        </w:rPr>
      </w:pPr>
      <w:r w:rsidRPr="000F337F">
        <w:rPr>
          <w:i/>
          <w:sz w:val="24"/>
        </w:rPr>
        <w:t xml:space="preserve">„Es ist keine Erfolgsmeldung, wenn die Effizienz des Dublin-Systems </w:t>
      </w:r>
      <w:r w:rsidR="00DA7BF7">
        <w:rPr>
          <w:i/>
          <w:sz w:val="24"/>
        </w:rPr>
        <w:t xml:space="preserve">aus Sicht deutscher Behörden </w:t>
      </w:r>
      <w:r w:rsidRPr="000F337F">
        <w:rPr>
          <w:i/>
          <w:sz w:val="24"/>
        </w:rPr>
        <w:t>steigt - im Gegenteil:</w:t>
      </w:r>
      <w:r w:rsidR="00DA7BF7">
        <w:rPr>
          <w:i/>
          <w:sz w:val="24"/>
        </w:rPr>
        <w:t xml:space="preserve"> Für die Betroffenen ist die gewaltsame Zurückschiebung </w:t>
      </w:r>
      <w:r w:rsidR="003F0E48">
        <w:rPr>
          <w:i/>
          <w:sz w:val="24"/>
        </w:rPr>
        <w:t>zu</w:t>
      </w:r>
      <w:r w:rsidR="00DA7BF7">
        <w:rPr>
          <w:i/>
          <w:sz w:val="24"/>
        </w:rPr>
        <w:t xml:space="preserve">meist eine Katastrophe. Und die strukturelle Ungerechtigkeit des Dublin-Systems wird mit Überstellungen in Ersteinreiseländer wie Italien weiter verstärkt. Statt zu versuchen, das ungerechte und gescheiterte Dublin-System mit aller Macht gegen den Willen von Schutzsuchenden und anderen Mitgliedstaaten durchzusetzen, sollte sich die Bundesregierung für ein grundlegend anderes, solidarisches System der Flüchtlingsaufnahme in der EU einsetzen.“ </w:t>
      </w:r>
    </w:p>
    <w:p w14:paraId="4BD3B83D" w14:textId="77777777" w:rsidR="000F337F" w:rsidRPr="000F337F" w:rsidRDefault="000F337F" w:rsidP="000F337F">
      <w:pPr>
        <w:rPr>
          <w:i/>
          <w:sz w:val="24"/>
        </w:rPr>
      </w:pPr>
    </w:p>
    <w:p w14:paraId="144FCCDC" w14:textId="7D5D5249" w:rsidR="000F337F" w:rsidRPr="000F337F" w:rsidRDefault="000F337F" w:rsidP="000F337F">
      <w:pPr>
        <w:rPr>
          <w:i/>
          <w:sz w:val="24"/>
        </w:rPr>
      </w:pPr>
      <w:r w:rsidRPr="000F337F">
        <w:rPr>
          <w:i/>
          <w:sz w:val="24"/>
        </w:rPr>
        <w:t xml:space="preserve">„Das Europäische Parlament hat länder- und fraktionsübergreifend mit großer Mehrheit einen Vorschlag zur Änderung des Dublin-Systems vorgelegt. Daran sollten sich die zerstrittenen Regierungschefs der Mitgliedstaaten orientieren. Auch an diesen Vorschlägen gibt es Kritik, aber die Europaparlamentarier haben begriffen, dass man die berechtigten Wünsche und Interesse der Schutzsuchenden zentral berücksichtigen muss, um zu einer fairen, akzeptierten und dauerhaften Verantwortungsteilung in der EU zu kommen. Zwangsumverteilungen hingegen sind inhuman und ineffektiv, </w:t>
      </w:r>
      <w:r w:rsidR="008501FB">
        <w:rPr>
          <w:i/>
          <w:sz w:val="24"/>
        </w:rPr>
        <w:t xml:space="preserve">und </w:t>
      </w:r>
      <w:r w:rsidRPr="000F337F">
        <w:rPr>
          <w:i/>
          <w:sz w:val="24"/>
        </w:rPr>
        <w:t xml:space="preserve">sie werden auch in Zukunft nicht funktionieren.“    </w:t>
      </w:r>
    </w:p>
    <w:p w14:paraId="5472DF73" w14:textId="77777777" w:rsidR="000F337F" w:rsidRPr="000F337F" w:rsidRDefault="000F337F" w:rsidP="000F337F">
      <w:pPr>
        <w:rPr>
          <w:i/>
          <w:sz w:val="24"/>
        </w:rPr>
      </w:pPr>
    </w:p>
    <w:p w14:paraId="55F31C36" w14:textId="76A57773" w:rsidR="000F337F" w:rsidRDefault="000F337F" w:rsidP="000F337F">
      <w:pPr>
        <w:rPr>
          <w:i/>
          <w:sz w:val="24"/>
        </w:rPr>
      </w:pPr>
      <w:r w:rsidRPr="000F337F">
        <w:rPr>
          <w:i/>
          <w:sz w:val="24"/>
        </w:rPr>
        <w:t>„Immer wieder heißt es, Dublin sei gescheitert. Noch schlimmer ist es aber, wenn Dublin ‚funktioniert‘. Denn nach der Un-Logik des Systems müssen dann die ohnehin überforderten Ersteinreiseländer der EU weitere Schutzsuchende aus Ländern wie Deutschland zurücknehmen. Schutzsuchende werden mit Gewalt in Europa hin- und hergeschoben und haben keine Chance anzukommen.</w:t>
      </w:r>
      <w:r w:rsidR="0026013A">
        <w:rPr>
          <w:i/>
          <w:sz w:val="24"/>
        </w:rPr>
        <w:t xml:space="preserve"> Das ist </w:t>
      </w:r>
      <w:r w:rsidR="003F0E48">
        <w:rPr>
          <w:i/>
          <w:sz w:val="24"/>
        </w:rPr>
        <w:t>inhuman</w:t>
      </w:r>
      <w:r w:rsidR="0026013A">
        <w:rPr>
          <w:i/>
          <w:sz w:val="24"/>
        </w:rPr>
        <w:t xml:space="preserve"> und kann </w:t>
      </w:r>
      <w:r w:rsidR="003F0E48">
        <w:rPr>
          <w:i/>
          <w:sz w:val="24"/>
        </w:rPr>
        <w:t xml:space="preserve">in der Praxis </w:t>
      </w:r>
      <w:r w:rsidR="0026013A">
        <w:rPr>
          <w:i/>
          <w:sz w:val="24"/>
        </w:rPr>
        <w:t>nicht funktionieren.</w:t>
      </w:r>
      <w:r w:rsidRPr="000F337F">
        <w:rPr>
          <w:i/>
          <w:sz w:val="24"/>
        </w:rPr>
        <w:t>“</w:t>
      </w:r>
    </w:p>
    <w:p w14:paraId="1FDC427A" w14:textId="77777777" w:rsidR="00E77415" w:rsidRDefault="00E77415" w:rsidP="000F337F">
      <w:pPr>
        <w:rPr>
          <w:i/>
          <w:sz w:val="24"/>
        </w:rPr>
      </w:pPr>
    </w:p>
    <w:p w14:paraId="16A70BAE" w14:textId="223ECF06" w:rsidR="00A66713" w:rsidRDefault="00E77415" w:rsidP="000F337F">
      <w:pPr>
        <w:rPr>
          <w:i/>
          <w:sz w:val="24"/>
        </w:rPr>
      </w:pPr>
      <w:r>
        <w:rPr>
          <w:i/>
          <w:sz w:val="24"/>
        </w:rPr>
        <w:t xml:space="preserve">„Zurückweisungen von Schutzsuchenden in einem 48stündigen Schnellverfahren, wie zwischen Deutschland, Spanien und Griechenland vereinbart, </w:t>
      </w:r>
      <w:r w:rsidR="00640674">
        <w:rPr>
          <w:i/>
          <w:sz w:val="24"/>
        </w:rPr>
        <w:t xml:space="preserve">verstoßen eindeutig gegen </w:t>
      </w:r>
      <w:r w:rsidR="0072089B">
        <w:rPr>
          <w:i/>
          <w:sz w:val="24"/>
        </w:rPr>
        <w:t>die Dublin-Verordnung</w:t>
      </w:r>
      <w:r w:rsidR="00640674">
        <w:rPr>
          <w:i/>
          <w:sz w:val="24"/>
        </w:rPr>
        <w:t>.</w:t>
      </w:r>
      <w:r w:rsidR="0072089B">
        <w:rPr>
          <w:i/>
          <w:sz w:val="24"/>
        </w:rPr>
        <w:t xml:space="preserve"> </w:t>
      </w:r>
      <w:r w:rsidR="00A66713">
        <w:rPr>
          <w:i/>
          <w:sz w:val="24"/>
        </w:rPr>
        <w:t xml:space="preserve">Das ist vermutlich der Grund, warum Vereinbarungen jenseits des geltenden EU-Rechts getroffen wurden. </w:t>
      </w:r>
      <w:r w:rsidR="00A66713" w:rsidRPr="00A66713">
        <w:rPr>
          <w:i/>
          <w:sz w:val="24"/>
        </w:rPr>
        <w:t xml:space="preserve">Der Vorrang des Europarechts </w:t>
      </w:r>
      <w:r w:rsidR="00A66713">
        <w:rPr>
          <w:i/>
          <w:sz w:val="24"/>
        </w:rPr>
        <w:t>ist eine Grundregel in der EU</w:t>
      </w:r>
      <w:r w:rsidR="00D55F89">
        <w:rPr>
          <w:i/>
          <w:sz w:val="24"/>
        </w:rPr>
        <w:t>. D</w:t>
      </w:r>
      <w:r w:rsidR="00A66713">
        <w:rPr>
          <w:i/>
          <w:sz w:val="24"/>
        </w:rPr>
        <w:t>ass hiergegen bewusst verstoßen wird, um den politisch Amok laufenden Seehofer zu befrieden, ist eine überaus beunruhigende Nachricht. Umso schlimmer, dass auch die SPD hier mitmacht.“</w:t>
      </w:r>
    </w:p>
    <w:p w14:paraId="5FEEFFC3" w14:textId="58385F5D" w:rsidR="00E77415" w:rsidRDefault="00A66713" w:rsidP="000F337F">
      <w:pPr>
        <w:rPr>
          <w:i/>
          <w:sz w:val="24"/>
        </w:rPr>
      </w:pPr>
      <w:r>
        <w:rPr>
          <w:i/>
          <w:sz w:val="24"/>
        </w:rPr>
        <w:t xml:space="preserve">„Pauschale Zurückweisungen sind schon deshalb unzulässig, weil </w:t>
      </w:r>
      <w:r w:rsidR="0072089B">
        <w:rPr>
          <w:i/>
          <w:sz w:val="24"/>
        </w:rPr>
        <w:t xml:space="preserve">Deutschland </w:t>
      </w:r>
      <w:r>
        <w:rPr>
          <w:i/>
          <w:sz w:val="24"/>
        </w:rPr>
        <w:t>oftmals für die Asylprüfung zuständig ist, etwa wenn bereits enge Familienangehörige hier leben. D</w:t>
      </w:r>
      <w:r w:rsidR="0072089B">
        <w:rPr>
          <w:i/>
          <w:sz w:val="24"/>
        </w:rPr>
        <w:t xml:space="preserve">as </w:t>
      </w:r>
      <w:r w:rsidR="0072089B">
        <w:rPr>
          <w:i/>
          <w:sz w:val="24"/>
        </w:rPr>
        <w:lastRenderedPageBreak/>
        <w:t>muss in einem Dublin-Verfahren mit Rechtsschutz</w:t>
      </w:r>
      <w:r>
        <w:rPr>
          <w:i/>
          <w:sz w:val="24"/>
        </w:rPr>
        <w:t>möglichkeit</w:t>
      </w:r>
      <w:r w:rsidR="00847470">
        <w:rPr>
          <w:i/>
          <w:sz w:val="24"/>
        </w:rPr>
        <w:t>en</w:t>
      </w:r>
      <w:r w:rsidR="0072089B">
        <w:rPr>
          <w:i/>
          <w:sz w:val="24"/>
        </w:rPr>
        <w:t xml:space="preserve"> geklärt werden.</w:t>
      </w:r>
      <w:r>
        <w:rPr>
          <w:i/>
          <w:sz w:val="24"/>
        </w:rPr>
        <w:t xml:space="preserve"> Die Bundesregierung </w:t>
      </w:r>
      <w:r w:rsidR="00847470">
        <w:rPr>
          <w:i/>
          <w:sz w:val="24"/>
        </w:rPr>
        <w:t xml:space="preserve">aber </w:t>
      </w:r>
      <w:r>
        <w:rPr>
          <w:i/>
          <w:sz w:val="24"/>
        </w:rPr>
        <w:t>handelt in Wildwest-Manier nach dem Motto: Erst schießen, dann fragen.</w:t>
      </w:r>
      <w:r w:rsidR="00847470">
        <w:rPr>
          <w:i/>
          <w:sz w:val="24"/>
        </w:rPr>
        <w:t>“</w:t>
      </w:r>
      <w:r w:rsidR="00E77415">
        <w:rPr>
          <w:i/>
          <w:sz w:val="24"/>
        </w:rPr>
        <w:t xml:space="preserve"> </w:t>
      </w:r>
    </w:p>
    <w:p w14:paraId="7941DF7C" w14:textId="77777777" w:rsidR="00E77415" w:rsidRDefault="00E77415" w:rsidP="000F337F">
      <w:pPr>
        <w:rPr>
          <w:i/>
          <w:sz w:val="24"/>
        </w:rPr>
      </w:pPr>
    </w:p>
    <w:p w14:paraId="6F279AF2" w14:textId="13A50A5E" w:rsidR="00E77415" w:rsidRPr="000F337F" w:rsidRDefault="00E77415" w:rsidP="000F337F">
      <w:pPr>
        <w:rPr>
          <w:i/>
          <w:sz w:val="24"/>
        </w:rPr>
      </w:pPr>
      <w:r>
        <w:rPr>
          <w:i/>
          <w:sz w:val="24"/>
        </w:rPr>
        <w:t xml:space="preserve">„Der Verdacht drängt sich auf, dass Deutschland die Familienzusammenführung nach der Dublin-Verordnung behindert, um Griechenland zu Zugeständnissen bei der Rücknahme von Asylsuchenden aus Deutschland zu bewegen. Ein solches politisches </w:t>
      </w:r>
      <w:r w:rsidR="009010CD">
        <w:rPr>
          <w:i/>
          <w:sz w:val="24"/>
        </w:rPr>
        <w:t>Geschacher</w:t>
      </w:r>
      <w:r>
        <w:rPr>
          <w:i/>
          <w:sz w:val="24"/>
        </w:rPr>
        <w:t xml:space="preserve"> auf Kosten der Familien darf es nicht geben, die Bundesregierung muss sich an geltendes EU-Recht halten.“</w:t>
      </w:r>
    </w:p>
    <w:p w14:paraId="78A8BF09" w14:textId="4078E9BC" w:rsidR="00D54F09" w:rsidRPr="00B66F4C" w:rsidRDefault="00D54F09" w:rsidP="00D54F09">
      <w:pPr>
        <w:rPr>
          <w:i/>
          <w:sz w:val="24"/>
        </w:rPr>
      </w:pPr>
    </w:p>
    <w:p w14:paraId="1F46575B" w14:textId="77777777" w:rsidR="00E64EDD" w:rsidRDefault="00E64EDD" w:rsidP="00E64EDD">
      <w:pPr>
        <w:rPr>
          <w:b/>
          <w:sz w:val="24"/>
        </w:rPr>
      </w:pPr>
    </w:p>
    <w:p w14:paraId="5EA29BF8" w14:textId="2F86EC39" w:rsidR="00E64EDD" w:rsidRDefault="00E64EDD" w:rsidP="00E64EDD">
      <w:pPr>
        <w:rPr>
          <w:b/>
          <w:sz w:val="24"/>
        </w:rPr>
      </w:pPr>
      <w:r w:rsidRPr="00515E66">
        <w:rPr>
          <w:b/>
          <w:sz w:val="24"/>
        </w:rPr>
        <w:t>Ausgewählte Aspekte</w:t>
      </w:r>
      <w:r>
        <w:rPr>
          <w:b/>
          <w:sz w:val="24"/>
        </w:rPr>
        <w:t xml:space="preserve"> der Antwort </w:t>
      </w:r>
      <w:r w:rsidR="00DA626A">
        <w:rPr>
          <w:b/>
          <w:sz w:val="24"/>
        </w:rPr>
        <w:t xml:space="preserve">im Detail </w:t>
      </w:r>
      <w:r>
        <w:rPr>
          <w:sz w:val="24"/>
        </w:rPr>
        <w:t xml:space="preserve">[Angaben beziehen sich auf das </w:t>
      </w:r>
      <w:r w:rsidR="0026013A">
        <w:rPr>
          <w:sz w:val="24"/>
        </w:rPr>
        <w:t>zweite</w:t>
      </w:r>
      <w:r>
        <w:rPr>
          <w:sz w:val="24"/>
        </w:rPr>
        <w:t xml:space="preserve"> Quartal 2018; Vergleichsangaben für 2017 auf BT-Drs. 19/694]</w:t>
      </w:r>
      <w:r w:rsidR="00DA626A">
        <w:rPr>
          <w:sz w:val="24"/>
        </w:rPr>
        <w:t>:</w:t>
      </w:r>
    </w:p>
    <w:p w14:paraId="3107FE4E" w14:textId="77777777" w:rsidR="00310275" w:rsidRPr="00E64EDD" w:rsidRDefault="00310275" w:rsidP="00310275">
      <w:pPr>
        <w:rPr>
          <w:sz w:val="24"/>
        </w:rPr>
      </w:pPr>
    </w:p>
    <w:p w14:paraId="2C84C4FD" w14:textId="29AE24AC" w:rsidR="00CC61EF" w:rsidRPr="00E64EDD" w:rsidRDefault="00CC61EF" w:rsidP="00E64EDD">
      <w:pPr>
        <w:rPr>
          <w:sz w:val="24"/>
        </w:rPr>
      </w:pPr>
      <w:r w:rsidRPr="00E64EDD">
        <w:rPr>
          <w:sz w:val="24"/>
        </w:rPr>
        <w:t xml:space="preserve">- Frage 1: der </w:t>
      </w:r>
      <w:r w:rsidRPr="004142AF">
        <w:rPr>
          <w:b/>
          <w:sz w:val="24"/>
        </w:rPr>
        <w:t>Anteil von Dublin-Verfahren an allen Asylverfahren</w:t>
      </w:r>
      <w:r w:rsidRPr="00E64EDD">
        <w:rPr>
          <w:sz w:val="24"/>
        </w:rPr>
        <w:t xml:space="preserve"> </w:t>
      </w:r>
      <w:r w:rsidR="0026013A" w:rsidRPr="0026013A">
        <w:rPr>
          <w:b/>
          <w:sz w:val="24"/>
        </w:rPr>
        <w:t>beträgt 37,2%</w:t>
      </w:r>
      <w:r w:rsidR="0026013A">
        <w:rPr>
          <w:sz w:val="24"/>
        </w:rPr>
        <w:t xml:space="preserve"> (</w:t>
      </w:r>
      <w:r w:rsidRPr="00E64EDD">
        <w:rPr>
          <w:sz w:val="24"/>
        </w:rPr>
        <w:t>2017</w:t>
      </w:r>
      <w:r w:rsidR="0026013A">
        <w:rPr>
          <w:sz w:val="24"/>
        </w:rPr>
        <w:t xml:space="preserve">: </w:t>
      </w:r>
      <w:r w:rsidRPr="00E64EDD">
        <w:rPr>
          <w:sz w:val="24"/>
        </w:rPr>
        <w:t>32,4%, 2016</w:t>
      </w:r>
      <w:r w:rsidR="004142AF">
        <w:rPr>
          <w:sz w:val="24"/>
        </w:rPr>
        <w:t>:</w:t>
      </w:r>
      <w:r w:rsidRPr="00E64EDD">
        <w:rPr>
          <w:sz w:val="24"/>
        </w:rPr>
        <w:t xml:space="preserve"> 7,7%</w:t>
      </w:r>
      <w:r w:rsidR="0026013A">
        <w:rPr>
          <w:sz w:val="24"/>
        </w:rPr>
        <w:t>)</w:t>
      </w:r>
      <w:r w:rsidR="004142AF">
        <w:rPr>
          <w:sz w:val="24"/>
        </w:rPr>
        <w:t xml:space="preserve">. Etwa </w:t>
      </w:r>
      <w:r w:rsidR="004142AF" w:rsidRPr="004142AF">
        <w:rPr>
          <w:b/>
          <w:sz w:val="24"/>
        </w:rPr>
        <w:t xml:space="preserve">2/3 aller </w:t>
      </w:r>
      <w:r w:rsidR="0026013A">
        <w:rPr>
          <w:b/>
          <w:sz w:val="24"/>
        </w:rPr>
        <w:t>Dublin-</w:t>
      </w:r>
      <w:r w:rsidR="004142AF" w:rsidRPr="004142AF">
        <w:rPr>
          <w:b/>
          <w:sz w:val="24"/>
        </w:rPr>
        <w:t xml:space="preserve">Ersuchen beruhen auf </w:t>
      </w:r>
      <w:r w:rsidRPr="004142AF">
        <w:rPr>
          <w:b/>
          <w:sz w:val="24"/>
        </w:rPr>
        <w:t>EURODAC-Treffern</w:t>
      </w:r>
      <w:r w:rsidRPr="00E64EDD">
        <w:rPr>
          <w:sz w:val="24"/>
        </w:rPr>
        <w:t xml:space="preserve"> (ein konstanter Wert</w:t>
      </w:r>
      <w:r w:rsidR="004142AF">
        <w:rPr>
          <w:sz w:val="24"/>
        </w:rPr>
        <w:t xml:space="preserve">), </w:t>
      </w:r>
      <w:r w:rsidR="0026013A">
        <w:rPr>
          <w:sz w:val="24"/>
        </w:rPr>
        <w:t>gut</w:t>
      </w:r>
      <w:r w:rsidR="004142AF">
        <w:rPr>
          <w:sz w:val="24"/>
        </w:rPr>
        <w:t xml:space="preserve"> 80% davon infolge eines </w:t>
      </w:r>
      <w:r w:rsidR="0026013A">
        <w:rPr>
          <w:sz w:val="24"/>
        </w:rPr>
        <w:t xml:space="preserve">vorherigen </w:t>
      </w:r>
      <w:r w:rsidR="004142AF">
        <w:rPr>
          <w:sz w:val="24"/>
        </w:rPr>
        <w:t>Asylgesuchs in einem anderen EU-Mitgliedstaat.</w:t>
      </w:r>
      <w:r w:rsidR="00FD3E54">
        <w:rPr>
          <w:sz w:val="24"/>
        </w:rPr>
        <w:t xml:space="preserve"> </w:t>
      </w:r>
      <w:r w:rsidR="00FD3E54">
        <w:rPr>
          <w:sz w:val="24"/>
        </w:rPr>
        <w:br/>
      </w:r>
      <w:r w:rsidR="00FD3E54" w:rsidRPr="003F0E48">
        <w:rPr>
          <w:b/>
          <w:sz w:val="24"/>
        </w:rPr>
        <w:t>Dublin-Verfahren dauerten</w:t>
      </w:r>
      <w:r w:rsidR="00FD3E54">
        <w:rPr>
          <w:sz w:val="24"/>
        </w:rPr>
        <w:t xml:space="preserve"> im ersten Halbjahr 2018 durchschnittlich </w:t>
      </w:r>
      <w:r w:rsidR="00FD3E54" w:rsidRPr="003F0E48">
        <w:rPr>
          <w:b/>
          <w:sz w:val="24"/>
        </w:rPr>
        <w:t>1,5 Monate</w:t>
      </w:r>
      <w:r w:rsidR="00FD3E54">
        <w:rPr>
          <w:sz w:val="24"/>
        </w:rPr>
        <w:t xml:space="preserve"> (2017: 2,3 Monate; Frage 12).</w:t>
      </w:r>
    </w:p>
    <w:p w14:paraId="7C85F0DA" w14:textId="77777777" w:rsidR="00CC61EF" w:rsidRPr="00E64EDD" w:rsidRDefault="00CC61EF" w:rsidP="00E64EDD">
      <w:pPr>
        <w:rPr>
          <w:sz w:val="24"/>
        </w:rPr>
      </w:pPr>
    </w:p>
    <w:p w14:paraId="759CA8E1" w14:textId="78EADC7A" w:rsidR="004142AF" w:rsidRDefault="00CC61EF" w:rsidP="00E64EDD">
      <w:pPr>
        <w:rPr>
          <w:sz w:val="24"/>
        </w:rPr>
      </w:pPr>
      <w:r w:rsidRPr="00E64EDD">
        <w:rPr>
          <w:sz w:val="24"/>
        </w:rPr>
        <w:t xml:space="preserve">- Frage 2: </w:t>
      </w:r>
      <w:r w:rsidRPr="004142AF">
        <w:rPr>
          <w:b/>
          <w:sz w:val="24"/>
        </w:rPr>
        <w:t>Nigerianische Flüchtlinge bilden mit 1</w:t>
      </w:r>
      <w:r w:rsidR="0026013A">
        <w:rPr>
          <w:b/>
          <w:sz w:val="24"/>
        </w:rPr>
        <w:t>4</w:t>
      </w:r>
      <w:r w:rsidRPr="004142AF">
        <w:rPr>
          <w:b/>
          <w:sz w:val="24"/>
        </w:rPr>
        <w:t>,</w:t>
      </w:r>
      <w:r w:rsidR="0026013A">
        <w:rPr>
          <w:b/>
          <w:sz w:val="24"/>
        </w:rPr>
        <w:t>2</w:t>
      </w:r>
      <w:r w:rsidRPr="004142AF">
        <w:rPr>
          <w:b/>
          <w:sz w:val="24"/>
        </w:rPr>
        <w:t xml:space="preserve">% die größte Gruppe der von </w:t>
      </w:r>
      <w:r w:rsidRPr="0026013A">
        <w:rPr>
          <w:b/>
          <w:sz w:val="24"/>
          <w:u w:val="single"/>
        </w:rPr>
        <w:t>Ersuchen</w:t>
      </w:r>
      <w:r w:rsidRPr="004142AF">
        <w:rPr>
          <w:b/>
          <w:sz w:val="24"/>
        </w:rPr>
        <w:t xml:space="preserve"> Betroffenen</w:t>
      </w:r>
      <w:r w:rsidRPr="00E64EDD">
        <w:rPr>
          <w:sz w:val="24"/>
        </w:rPr>
        <w:t xml:space="preserve"> [2017 noch an 4. Stelle, 7,1%]</w:t>
      </w:r>
      <w:r w:rsidR="004142AF">
        <w:rPr>
          <w:sz w:val="24"/>
        </w:rPr>
        <w:t>.</w:t>
      </w:r>
      <w:r w:rsidRPr="00E64EDD">
        <w:rPr>
          <w:sz w:val="24"/>
        </w:rPr>
        <w:t xml:space="preserve"> </w:t>
      </w:r>
    </w:p>
    <w:p w14:paraId="3975DE52" w14:textId="489F2B6C" w:rsidR="00CC61EF" w:rsidRPr="00E64EDD" w:rsidRDefault="00CC61EF" w:rsidP="00E64EDD">
      <w:pPr>
        <w:rPr>
          <w:sz w:val="24"/>
        </w:rPr>
      </w:pPr>
      <w:r w:rsidRPr="0026013A">
        <w:rPr>
          <w:b/>
          <w:sz w:val="24"/>
          <w:u w:val="single"/>
        </w:rPr>
        <w:t>Italien</w:t>
      </w:r>
      <w:r w:rsidRPr="00E64EDD">
        <w:rPr>
          <w:sz w:val="24"/>
        </w:rPr>
        <w:t xml:space="preserve"> wird </w:t>
      </w:r>
      <w:r w:rsidR="0026013A">
        <w:rPr>
          <w:sz w:val="24"/>
        </w:rPr>
        <w:t>immer stärker</w:t>
      </w:r>
      <w:r w:rsidRPr="00E64EDD">
        <w:rPr>
          <w:sz w:val="24"/>
        </w:rPr>
        <w:t xml:space="preserve"> und </w:t>
      </w:r>
      <w:r w:rsidRPr="004142AF">
        <w:rPr>
          <w:b/>
          <w:sz w:val="24"/>
        </w:rPr>
        <w:t>an erster Stelle um Übernahmen ersucht: 3</w:t>
      </w:r>
      <w:r w:rsidR="0026013A">
        <w:rPr>
          <w:b/>
          <w:sz w:val="24"/>
        </w:rPr>
        <w:t>6,8</w:t>
      </w:r>
      <w:r w:rsidRPr="004142AF">
        <w:rPr>
          <w:b/>
          <w:sz w:val="24"/>
        </w:rPr>
        <w:t>%</w:t>
      </w:r>
      <w:r w:rsidRPr="00E64EDD">
        <w:rPr>
          <w:sz w:val="24"/>
        </w:rPr>
        <w:t xml:space="preserve"> [2017: 35,3%], </w:t>
      </w:r>
      <w:r w:rsidR="0026013A" w:rsidRPr="00E64EDD">
        <w:rPr>
          <w:sz w:val="24"/>
        </w:rPr>
        <w:t>Griechenland</w:t>
      </w:r>
      <w:r w:rsidR="0026013A">
        <w:rPr>
          <w:sz w:val="24"/>
        </w:rPr>
        <w:t xml:space="preserve"> (9,9%),</w:t>
      </w:r>
      <w:r w:rsidR="0026013A" w:rsidRPr="00E64EDD">
        <w:rPr>
          <w:sz w:val="24"/>
        </w:rPr>
        <w:t xml:space="preserve"> </w:t>
      </w:r>
      <w:r w:rsidRPr="00E64EDD">
        <w:rPr>
          <w:sz w:val="24"/>
        </w:rPr>
        <w:t>Frankreich</w:t>
      </w:r>
      <w:r w:rsidR="0026013A">
        <w:rPr>
          <w:sz w:val="24"/>
        </w:rPr>
        <w:t xml:space="preserve"> und</w:t>
      </w:r>
      <w:r w:rsidRPr="00E64EDD">
        <w:rPr>
          <w:sz w:val="24"/>
        </w:rPr>
        <w:t xml:space="preserve"> Spanien folgen.</w:t>
      </w:r>
    </w:p>
    <w:p w14:paraId="79DEC4D4" w14:textId="77777777" w:rsidR="00CC61EF" w:rsidRPr="00E64EDD" w:rsidRDefault="00CC61EF" w:rsidP="00E64EDD">
      <w:pPr>
        <w:rPr>
          <w:sz w:val="24"/>
        </w:rPr>
      </w:pPr>
    </w:p>
    <w:p w14:paraId="7231FF6F" w14:textId="44E47482" w:rsidR="00CC61EF" w:rsidRPr="00E64EDD" w:rsidRDefault="00CC61EF" w:rsidP="00E64EDD">
      <w:pPr>
        <w:rPr>
          <w:sz w:val="24"/>
        </w:rPr>
      </w:pPr>
      <w:r w:rsidRPr="00E64EDD">
        <w:rPr>
          <w:sz w:val="24"/>
        </w:rPr>
        <w:t>- Frage 4</w:t>
      </w:r>
      <w:r w:rsidR="004142AF">
        <w:rPr>
          <w:sz w:val="24"/>
        </w:rPr>
        <w:t>: D</w:t>
      </w:r>
      <w:r w:rsidRPr="00E64EDD">
        <w:rPr>
          <w:sz w:val="24"/>
        </w:rPr>
        <w:t xml:space="preserve">ie </w:t>
      </w:r>
      <w:r w:rsidRPr="004142AF">
        <w:rPr>
          <w:b/>
          <w:sz w:val="24"/>
        </w:rPr>
        <w:t xml:space="preserve">Zahl der </w:t>
      </w:r>
      <w:r w:rsidRPr="0026013A">
        <w:rPr>
          <w:b/>
          <w:sz w:val="24"/>
          <w:u w:val="single"/>
        </w:rPr>
        <w:t>Überstellungen</w:t>
      </w:r>
      <w:r w:rsidRPr="004142AF">
        <w:rPr>
          <w:b/>
          <w:sz w:val="24"/>
        </w:rPr>
        <w:t xml:space="preserve"> </w:t>
      </w:r>
      <w:r w:rsidR="0026013A">
        <w:rPr>
          <w:b/>
          <w:sz w:val="24"/>
        </w:rPr>
        <w:t>bleibt auf hohem Niveau: 2.422</w:t>
      </w:r>
      <w:r w:rsidR="003F0E48">
        <w:rPr>
          <w:b/>
          <w:sz w:val="24"/>
        </w:rPr>
        <w:t xml:space="preserve"> im 2. Quartal 2018 </w:t>
      </w:r>
      <w:r w:rsidR="0026013A">
        <w:rPr>
          <w:b/>
          <w:sz w:val="24"/>
        </w:rPr>
        <w:t xml:space="preserve"> </w:t>
      </w:r>
      <w:r w:rsidR="0026013A">
        <w:rPr>
          <w:sz w:val="24"/>
        </w:rPr>
        <w:t xml:space="preserve">(2.500 im ersten Quartal, </w:t>
      </w:r>
      <w:r w:rsidRPr="00E64EDD">
        <w:rPr>
          <w:sz w:val="24"/>
        </w:rPr>
        <w:t>2017: 7.102</w:t>
      </w:r>
      <w:r w:rsidR="0026013A">
        <w:rPr>
          <w:sz w:val="24"/>
        </w:rPr>
        <w:t>).</w:t>
      </w:r>
    </w:p>
    <w:p w14:paraId="0321406F" w14:textId="5B189840" w:rsidR="00CC61EF" w:rsidRPr="00E64EDD" w:rsidRDefault="00CC61EF" w:rsidP="00E64EDD">
      <w:pPr>
        <w:rPr>
          <w:sz w:val="24"/>
        </w:rPr>
      </w:pPr>
      <w:r w:rsidRPr="00E64EDD">
        <w:rPr>
          <w:sz w:val="24"/>
        </w:rPr>
        <w:t>Von Überstellungen sind vor allem irakische,</w:t>
      </w:r>
      <w:r w:rsidR="0026013A">
        <w:rPr>
          <w:sz w:val="24"/>
        </w:rPr>
        <w:t xml:space="preserve"> syrische,</w:t>
      </w:r>
      <w:r w:rsidRPr="00E64EDD">
        <w:rPr>
          <w:sz w:val="24"/>
        </w:rPr>
        <w:t xml:space="preserve"> afghanische und nigerianische Flüchtlinge betroffen, </w:t>
      </w:r>
      <w:r w:rsidRPr="004142AF">
        <w:rPr>
          <w:b/>
          <w:sz w:val="24"/>
        </w:rPr>
        <w:t xml:space="preserve">Überstellungen gehen vor allem </w:t>
      </w:r>
      <w:r w:rsidR="0026013A">
        <w:rPr>
          <w:b/>
          <w:sz w:val="24"/>
        </w:rPr>
        <w:t xml:space="preserve">und in steigendem Maße </w:t>
      </w:r>
      <w:r w:rsidRPr="004142AF">
        <w:rPr>
          <w:b/>
          <w:sz w:val="24"/>
        </w:rPr>
        <w:t xml:space="preserve">nach </w:t>
      </w:r>
      <w:r w:rsidRPr="0026013A">
        <w:rPr>
          <w:b/>
          <w:sz w:val="24"/>
          <w:u w:val="single"/>
        </w:rPr>
        <w:t>Italien</w:t>
      </w:r>
      <w:r w:rsidR="0026013A">
        <w:rPr>
          <w:b/>
          <w:sz w:val="24"/>
        </w:rPr>
        <w:t>:</w:t>
      </w:r>
      <w:r w:rsidRPr="004142AF">
        <w:rPr>
          <w:b/>
          <w:sz w:val="24"/>
        </w:rPr>
        <w:t xml:space="preserve"> </w:t>
      </w:r>
      <w:r w:rsidR="0026013A">
        <w:rPr>
          <w:b/>
          <w:sz w:val="24"/>
        </w:rPr>
        <w:t>37</w:t>
      </w:r>
      <w:r w:rsidRPr="004142AF">
        <w:rPr>
          <w:b/>
          <w:sz w:val="24"/>
        </w:rPr>
        <w:t>,</w:t>
      </w:r>
      <w:r w:rsidR="0026013A">
        <w:rPr>
          <w:b/>
          <w:sz w:val="24"/>
        </w:rPr>
        <w:t>4</w:t>
      </w:r>
      <w:r w:rsidRPr="004142AF">
        <w:rPr>
          <w:b/>
          <w:sz w:val="24"/>
        </w:rPr>
        <w:t>%</w:t>
      </w:r>
      <w:r w:rsidR="0026013A">
        <w:rPr>
          <w:b/>
          <w:sz w:val="24"/>
        </w:rPr>
        <w:t xml:space="preserve">, 905 Personen </w:t>
      </w:r>
      <w:r w:rsidR="0026013A">
        <w:rPr>
          <w:sz w:val="24"/>
        </w:rPr>
        <w:t>(1. Quartal: 31,2%, 781 Personen)</w:t>
      </w:r>
    </w:p>
    <w:p w14:paraId="2DB1A696" w14:textId="77777777" w:rsidR="00CC61EF" w:rsidRPr="00E64EDD" w:rsidRDefault="00CC61EF" w:rsidP="00E64EDD">
      <w:pPr>
        <w:rPr>
          <w:sz w:val="24"/>
        </w:rPr>
      </w:pPr>
    </w:p>
    <w:p w14:paraId="13508E2E" w14:textId="77F21B85" w:rsidR="00CC61EF" w:rsidRDefault="00CC61EF" w:rsidP="00E64EDD">
      <w:pPr>
        <w:rPr>
          <w:b/>
          <w:sz w:val="24"/>
        </w:rPr>
      </w:pPr>
      <w:r w:rsidRPr="00E64EDD">
        <w:rPr>
          <w:sz w:val="24"/>
        </w:rPr>
        <w:t xml:space="preserve">- Frage 4: </w:t>
      </w:r>
      <w:r w:rsidR="002155D8">
        <w:rPr>
          <w:b/>
          <w:sz w:val="24"/>
        </w:rPr>
        <w:t>N</w:t>
      </w:r>
      <w:r w:rsidRPr="004142AF">
        <w:rPr>
          <w:b/>
          <w:sz w:val="24"/>
        </w:rPr>
        <w:t xml:space="preserve">ach Jahren der Aussetzung </w:t>
      </w:r>
      <w:r w:rsidR="002155D8">
        <w:rPr>
          <w:b/>
          <w:sz w:val="24"/>
        </w:rPr>
        <w:t xml:space="preserve">von Überstellungen nach Griechenland (seit 2011) gab es im 1. Quartal vier, im zweiten Quartal eine Überstellung </w:t>
      </w:r>
      <w:r w:rsidRPr="004142AF">
        <w:rPr>
          <w:b/>
          <w:sz w:val="24"/>
        </w:rPr>
        <w:t xml:space="preserve">nach </w:t>
      </w:r>
      <w:r w:rsidRPr="002155D8">
        <w:rPr>
          <w:b/>
          <w:sz w:val="24"/>
          <w:u w:val="single"/>
        </w:rPr>
        <w:t>Griechenland</w:t>
      </w:r>
      <w:r w:rsidR="002155D8">
        <w:rPr>
          <w:b/>
          <w:sz w:val="24"/>
        </w:rPr>
        <w:t>.</w:t>
      </w:r>
      <w:r w:rsidR="004142AF">
        <w:rPr>
          <w:b/>
          <w:sz w:val="24"/>
        </w:rPr>
        <w:t xml:space="preserve"> </w:t>
      </w:r>
    </w:p>
    <w:p w14:paraId="148C1145" w14:textId="1D8F7D89" w:rsidR="002155D8" w:rsidRDefault="002155D8" w:rsidP="00E64EDD">
      <w:pPr>
        <w:rPr>
          <w:sz w:val="24"/>
        </w:rPr>
      </w:pPr>
      <w:r>
        <w:rPr>
          <w:sz w:val="24"/>
        </w:rPr>
        <w:t xml:space="preserve">- Frage 7: </w:t>
      </w:r>
      <w:r w:rsidRPr="003F0E48">
        <w:rPr>
          <w:b/>
          <w:sz w:val="24"/>
        </w:rPr>
        <w:t>Gerichte verhinderten im ersten Halbjahr 2018 in jedem zweiten Fall eine geplante Überstellung nach Griechenland</w:t>
      </w:r>
      <w:r>
        <w:rPr>
          <w:sz w:val="24"/>
        </w:rPr>
        <w:t xml:space="preserve"> (14 von 28 Entscheidungen im Eilverfahren)</w:t>
      </w:r>
    </w:p>
    <w:p w14:paraId="1E16C4B7" w14:textId="6401D09F" w:rsidR="002155D8" w:rsidRDefault="002155D8" w:rsidP="00E64EDD">
      <w:pPr>
        <w:rPr>
          <w:sz w:val="24"/>
        </w:rPr>
      </w:pPr>
      <w:r>
        <w:rPr>
          <w:sz w:val="24"/>
        </w:rPr>
        <w:t xml:space="preserve">- Zu Frage 8a führt die Bundesregierung aus, dass es nur wenige Zustimmungen zur Rückübernahme durch Griechenland gebe (2017: 81, 1. HJ 2018: 102) und die Ablehnungen aus Sicht der Bundesregierung „überwiegend nicht stichhaltig“ seien. </w:t>
      </w:r>
    </w:p>
    <w:p w14:paraId="71DCF651" w14:textId="77777777" w:rsidR="00CC61EF" w:rsidRPr="00E64EDD" w:rsidRDefault="00CC61EF" w:rsidP="00E64EDD">
      <w:pPr>
        <w:rPr>
          <w:sz w:val="24"/>
        </w:rPr>
      </w:pPr>
    </w:p>
    <w:p w14:paraId="44E28526" w14:textId="77777777" w:rsidR="00CC61EF" w:rsidRPr="00E64EDD" w:rsidRDefault="00CC61EF" w:rsidP="00E64EDD">
      <w:pPr>
        <w:rPr>
          <w:sz w:val="24"/>
        </w:rPr>
      </w:pPr>
      <w:r w:rsidRPr="00E64EDD">
        <w:rPr>
          <w:sz w:val="24"/>
        </w:rPr>
        <w:t>- Frage 6:</w:t>
      </w:r>
    </w:p>
    <w:p w14:paraId="45BE3AFD" w14:textId="7B099AD7" w:rsidR="004142AF" w:rsidRPr="00E64EDD" w:rsidRDefault="00CC61EF" w:rsidP="004142AF">
      <w:pPr>
        <w:rPr>
          <w:sz w:val="24"/>
        </w:rPr>
      </w:pPr>
      <w:r w:rsidRPr="00E64EDD">
        <w:rPr>
          <w:sz w:val="24"/>
        </w:rPr>
        <w:t xml:space="preserve">Die </w:t>
      </w:r>
      <w:r w:rsidRPr="004142AF">
        <w:rPr>
          <w:b/>
          <w:sz w:val="24"/>
        </w:rPr>
        <w:t xml:space="preserve">Überstellungsquote </w:t>
      </w:r>
      <w:r w:rsidR="002155D8">
        <w:rPr>
          <w:b/>
          <w:sz w:val="24"/>
        </w:rPr>
        <w:t xml:space="preserve">im zweiten Quartal betrug 24,5% </w:t>
      </w:r>
      <w:r w:rsidRPr="004142AF">
        <w:rPr>
          <w:b/>
          <w:sz w:val="24"/>
        </w:rPr>
        <w:t>- dies liegt deutlich über vorherigen Werten</w:t>
      </w:r>
      <w:r w:rsidRPr="00E64EDD">
        <w:rPr>
          <w:sz w:val="24"/>
        </w:rPr>
        <w:t xml:space="preserve"> (</w:t>
      </w:r>
      <w:r w:rsidR="006710D5">
        <w:rPr>
          <w:sz w:val="24"/>
        </w:rPr>
        <w:t xml:space="preserve">1. Quartal: 22%, </w:t>
      </w:r>
      <w:r w:rsidRPr="00E64EDD">
        <w:rPr>
          <w:sz w:val="24"/>
        </w:rPr>
        <w:t>2017: 15,1%, 2016: 13,5%).</w:t>
      </w:r>
      <w:r w:rsidR="004142AF" w:rsidRPr="004142AF">
        <w:rPr>
          <w:sz w:val="24"/>
        </w:rPr>
        <w:t xml:space="preserve"> </w:t>
      </w:r>
      <w:r w:rsidR="002155D8">
        <w:rPr>
          <w:sz w:val="24"/>
        </w:rPr>
        <w:t>[</w:t>
      </w:r>
      <w:r w:rsidR="004142AF">
        <w:rPr>
          <w:sz w:val="24"/>
        </w:rPr>
        <w:t xml:space="preserve">Das deckt sich mit </w:t>
      </w:r>
      <w:r w:rsidR="004142AF" w:rsidRPr="00E64EDD">
        <w:rPr>
          <w:sz w:val="24"/>
        </w:rPr>
        <w:t>Berichte</w:t>
      </w:r>
      <w:r w:rsidR="004142AF">
        <w:rPr>
          <w:sz w:val="24"/>
        </w:rPr>
        <w:t>n aus der Praxis</w:t>
      </w:r>
      <w:r w:rsidR="004142AF" w:rsidRPr="00E64EDD">
        <w:rPr>
          <w:sz w:val="24"/>
        </w:rPr>
        <w:t xml:space="preserve"> über verschärfte Dublin-Überstellungen</w:t>
      </w:r>
      <w:r w:rsidR="004142AF">
        <w:rPr>
          <w:sz w:val="24"/>
        </w:rPr>
        <w:t xml:space="preserve">, </w:t>
      </w:r>
      <w:r w:rsidR="002155D8">
        <w:rPr>
          <w:sz w:val="24"/>
        </w:rPr>
        <w:t xml:space="preserve">leider </w:t>
      </w:r>
      <w:r w:rsidR="004142AF" w:rsidRPr="00E64EDD">
        <w:rPr>
          <w:sz w:val="24"/>
        </w:rPr>
        <w:t>auch von psychisch Kranken, ein</w:t>
      </w:r>
      <w:r w:rsidR="004142AF">
        <w:rPr>
          <w:sz w:val="24"/>
        </w:rPr>
        <w:t>zelnen Familienmitgliedern usw</w:t>
      </w:r>
      <w:r w:rsidR="004142AF" w:rsidRPr="00E64EDD">
        <w:rPr>
          <w:sz w:val="24"/>
        </w:rPr>
        <w:t>.</w:t>
      </w:r>
      <w:r w:rsidR="002155D8">
        <w:rPr>
          <w:sz w:val="24"/>
        </w:rPr>
        <w:t>]</w:t>
      </w:r>
      <w:r w:rsidR="00F63F9B">
        <w:rPr>
          <w:sz w:val="24"/>
        </w:rPr>
        <w:t xml:space="preserve"> </w:t>
      </w:r>
      <w:r w:rsidR="003F0E48">
        <w:rPr>
          <w:sz w:val="24"/>
        </w:rPr>
        <w:br/>
      </w:r>
      <w:r w:rsidR="00F63F9B">
        <w:rPr>
          <w:sz w:val="24"/>
        </w:rPr>
        <w:t xml:space="preserve">Die Bundesregierung erklärt hierzu (Frage 12): Durch Verfahrensbeschleunigungen, die prioritäre und konzentrierte Bearbeitung und zudem fokussierten Personaleinsatz „konnte ein </w:t>
      </w:r>
      <w:r w:rsidR="00F63F9B" w:rsidRPr="00F63F9B">
        <w:rPr>
          <w:b/>
          <w:sz w:val="24"/>
        </w:rPr>
        <w:t>beachtlicher Anstieg der Überstellungsquote</w:t>
      </w:r>
      <w:r w:rsidR="00F63F9B">
        <w:rPr>
          <w:sz w:val="24"/>
        </w:rPr>
        <w:t xml:space="preserve"> erreicht werden“.</w:t>
      </w:r>
    </w:p>
    <w:p w14:paraId="407261E3" w14:textId="21E2354C" w:rsidR="00CC61EF" w:rsidRPr="00E64EDD" w:rsidRDefault="00CC61EF" w:rsidP="00E64EDD">
      <w:pPr>
        <w:rPr>
          <w:sz w:val="24"/>
        </w:rPr>
      </w:pPr>
      <w:r w:rsidRPr="00E64EDD">
        <w:rPr>
          <w:sz w:val="24"/>
        </w:rPr>
        <w:t xml:space="preserve">In Bezug auf </w:t>
      </w:r>
      <w:r w:rsidRPr="004142AF">
        <w:rPr>
          <w:b/>
          <w:sz w:val="24"/>
        </w:rPr>
        <w:t>Italien</w:t>
      </w:r>
      <w:r w:rsidR="006710D5">
        <w:rPr>
          <w:sz w:val="24"/>
        </w:rPr>
        <w:t xml:space="preserve"> konnte die Quote von 15</w:t>
      </w:r>
      <w:r w:rsidRPr="00E64EDD">
        <w:rPr>
          <w:sz w:val="24"/>
        </w:rPr>
        <w:t>,</w:t>
      </w:r>
      <w:r w:rsidR="006710D5">
        <w:rPr>
          <w:sz w:val="24"/>
        </w:rPr>
        <w:t>8</w:t>
      </w:r>
      <w:r w:rsidRPr="00E64EDD">
        <w:rPr>
          <w:sz w:val="24"/>
        </w:rPr>
        <w:t xml:space="preserve">% </w:t>
      </w:r>
      <w:r w:rsidR="006710D5">
        <w:rPr>
          <w:sz w:val="24"/>
        </w:rPr>
        <w:t xml:space="preserve">(1. Q) </w:t>
      </w:r>
      <w:r w:rsidRPr="00E64EDD">
        <w:rPr>
          <w:sz w:val="24"/>
        </w:rPr>
        <w:t>auf 1</w:t>
      </w:r>
      <w:r w:rsidR="006710D5">
        <w:rPr>
          <w:sz w:val="24"/>
        </w:rPr>
        <w:t>9</w:t>
      </w:r>
      <w:r w:rsidRPr="00E64EDD">
        <w:rPr>
          <w:sz w:val="24"/>
        </w:rPr>
        <w:t>,</w:t>
      </w:r>
      <w:r w:rsidR="006710D5">
        <w:rPr>
          <w:sz w:val="24"/>
        </w:rPr>
        <w:t>6</w:t>
      </w:r>
      <w:r w:rsidRPr="00E64EDD">
        <w:rPr>
          <w:sz w:val="24"/>
        </w:rPr>
        <w:t xml:space="preserve">% </w:t>
      </w:r>
      <w:r w:rsidR="006710D5">
        <w:rPr>
          <w:sz w:val="24"/>
        </w:rPr>
        <w:t xml:space="preserve">(2. Q) </w:t>
      </w:r>
      <w:r w:rsidRPr="00E64EDD">
        <w:rPr>
          <w:sz w:val="24"/>
        </w:rPr>
        <w:t>angehoben werden.</w:t>
      </w:r>
    </w:p>
    <w:p w14:paraId="7F22190D" w14:textId="3CA28B7E" w:rsidR="00CC61EF" w:rsidRPr="00E64EDD" w:rsidRDefault="00CC61EF" w:rsidP="00E64EDD">
      <w:pPr>
        <w:rPr>
          <w:sz w:val="24"/>
        </w:rPr>
      </w:pPr>
      <w:r w:rsidRPr="00E64EDD">
        <w:rPr>
          <w:sz w:val="24"/>
        </w:rPr>
        <w:t xml:space="preserve">In Bezug auf </w:t>
      </w:r>
      <w:r w:rsidRPr="004142AF">
        <w:rPr>
          <w:b/>
          <w:sz w:val="24"/>
        </w:rPr>
        <w:t>Griechenland</w:t>
      </w:r>
      <w:r w:rsidRPr="00E64EDD">
        <w:rPr>
          <w:sz w:val="24"/>
        </w:rPr>
        <w:t xml:space="preserve"> gab es </w:t>
      </w:r>
      <w:r w:rsidR="006710D5">
        <w:rPr>
          <w:sz w:val="24"/>
        </w:rPr>
        <w:t xml:space="preserve">im zweiten Quartal </w:t>
      </w:r>
      <w:r w:rsidRPr="00E64EDD">
        <w:rPr>
          <w:sz w:val="24"/>
        </w:rPr>
        <w:t>1.</w:t>
      </w:r>
      <w:r w:rsidR="006710D5">
        <w:rPr>
          <w:sz w:val="24"/>
        </w:rPr>
        <w:t>351 Ersuchen, 55 Zustimmungen und eine Überstellung</w:t>
      </w:r>
      <w:r w:rsidRPr="00E64EDD">
        <w:rPr>
          <w:sz w:val="24"/>
        </w:rPr>
        <w:t>.</w:t>
      </w:r>
    </w:p>
    <w:p w14:paraId="42CE3478" w14:textId="77777777" w:rsidR="006710D5" w:rsidRDefault="006710D5" w:rsidP="00E64EDD">
      <w:pPr>
        <w:rPr>
          <w:b/>
          <w:sz w:val="24"/>
        </w:rPr>
      </w:pPr>
    </w:p>
    <w:p w14:paraId="4EB62A65" w14:textId="7A0E2DD0" w:rsidR="00CC61EF" w:rsidRPr="00E64EDD" w:rsidRDefault="00CC61EF" w:rsidP="00E64EDD">
      <w:pPr>
        <w:rPr>
          <w:sz w:val="24"/>
        </w:rPr>
      </w:pPr>
      <w:r w:rsidRPr="004142AF">
        <w:rPr>
          <w:b/>
          <w:sz w:val="24"/>
        </w:rPr>
        <w:lastRenderedPageBreak/>
        <w:t xml:space="preserve">Die "Bilanz" des Dublin-Systems </w:t>
      </w:r>
      <w:r w:rsidR="004142AF" w:rsidRPr="004142AF">
        <w:rPr>
          <w:b/>
          <w:sz w:val="24"/>
        </w:rPr>
        <w:t xml:space="preserve">ist </w:t>
      </w:r>
      <w:r w:rsidRPr="004142AF">
        <w:rPr>
          <w:b/>
          <w:sz w:val="24"/>
        </w:rPr>
        <w:t xml:space="preserve">aus deutscher Sicht nunmehr "positiv": Deutschland </w:t>
      </w:r>
      <w:r w:rsidR="006710D5">
        <w:rPr>
          <w:b/>
          <w:sz w:val="24"/>
        </w:rPr>
        <w:t>konnte im zweiten Quartal 450</w:t>
      </w:r>
      <w:r w:rsidRPr="004142AF">
        <w:rPr>
          <w:b/>
          <w:sz w:val="24"/>
        </w:rPr>
        <w:t xml:space="preserve"> Asylsuchende mehr an andere EU-Staaten überstellen als es in Gegenrichtung übernehmen musste</w:t>
      </w:r>
      <w:r w:rsidRPr="00E64EDD">
        <w:rPr>
          <w:sz w:val="24"/>
        </w:rPr>
        <w:t xml:space="preserve"> (</w:t>
      </w:r>
      <w:r w:rsidR="006710D5">
        <w:rPr>
          <w:sz w:val="24"/>
        </w:rPr>
        <w:t xml:space="preserve">im ersten Quartal sogar fast 1.000; </w:t>
      </w:r>
      <w:r w:rsidRPr="00E64EDD">
        <w:rPr>
          <w:sz w:val="24"/>
        </w:rPr>
        <w:t xml:space="preserve">2017: "Negativ"-Saldo </w:t>
      </w:r>
      <w:r w:rsidR="006710D5">
        <w:rPr>
          <w:sz w:val="24"/>
        </w:rPr>
        <w:t xml:space="preserve">aus Sicht Deutschlands </w:t>
      </w:r>
      <w:r w:rsidRPr="00E64EDD">
        <w:rPr>
          <w:sz w:val="24"/>
        </w:rPr>
        <w:t>von 1.652 Personen).</w:t>
      </w:r>
    </w:p>
    <w:p w14:paraId="3D854E0B" w14:textId="78A4ABE9" w:rsidR="00CC61EF" w:rsidRPr="00E64EDD" w:rsidRDefault="00CC61EF" w:rsidP="00E64EDD">
      <w:pPr>
        <w:rPr>
          <w:sz w:val="24"/>
        </w:rPr>
      </w:pPr>
      <w:r w:rsidRPr="00E64EDD">
        <w:rPr>
          <w:sz w:val="24"/>
        </w:rPr>
        <w:t xml:space="preserve">Der Aufwand </w:t>
      </w:r>
      <w:r w:rsidR="004142AF">
        <w:rPr>
          <w:sz w:val="24"/>
        </w:rPr>
        <w:t>ist</w:t>
      </w:r>
      <w:r w:rsidRPr="00E64EDD">
        <w:rPr>
          <w:sz w:val="24"/>
        </w:rPr>
        <w:t xml:space="preserve"> </w:t>
      </w:r>
      <w:r w:rsidR="006710D5">
        <w:rPr>
          <w:sz w:val="24"/>
        </w:rPr>
        <w:t xml:space="preserve">jedoch </w:t>
      </w:r>
      <w:r w:rsidRPr="00E64EDD">
        <w:rPr>
          <w:sz w:val="24"/>
        </w:rPr>
        <w:t xml:space="preserve">enorm: Im BAMF sind </w:t>
      </w:r>
      <w:r w:rsidRPr="004142AF">
        <w:rPr>
          <w:b/>
          <w:sz w:val="24"/>
        </w:rPr>
        <w:t>3</w:t>
      </w:r>
      <w:r w:rsidR="006710D5">
        <w:rPr>
          <w:b/>
          <w:sz w:val="24"/>
        </w:rPr>
        <w:t>13</w:t>
      </w:r>
      <w:r w:rsidRPr="004142AF">
        <w:rPr>
          <w:b/>
          <w:sz w:val="24"/>
        </w:rPr>
        <w:t xml:space="preserve"> </w:t>
      </w:r>
      <w:r w:rsidR="004142AF">
        <w:rPr>
          <w:b/>
          <w:sz w:val="24"/>
        </w:rPr>
        <w:t>Angestellte</w:t>
      </w:r>
      <w:r w:rsidRPr="00E64EDD">
        <w:rPr>
          <w:sz w:val="24"/>
        </w:rPr>
        <w:t xml:space="preserve"> alleine </w:t>
      </w:r>
      <w:r w:rsidRPr="004142AF">
        <w:rPr>
          <w:b/>
          <w:sz w:val="24"/>
        </w:rPr>
        <w:t>mit Dublin-Verfahren beschäftigt</w:t>
      </w:r>
      <w:r w:rsidR="006710D5">
        <w:rPr>
          <w:b/>
          <w:sz w:val="24"/>
        </w:rPr>
        <w:t xml:space="preserve"> </w:t>
      </w:r>
      <w:r w:rsidR="006710D5" w:rsidRPr="006710D5">
        <w:rPr>
          <w:sz w:val="24"/>
        </w:rPr>
        <w:t>(Frage 21)</w:t>
      </w:r>
      <w:r w:rsidRPr="006710D5">
        <w:rPr>
          <w:sz w:val="24"/>
        </w:rPr>
        <w:t>.</w:t>
      </w:r>
    </w:p>
    <w:p w14:paraId="7D04AD05" w14:textId="77777777" w:rsidR="00CC61EF" w:rsidRPr="00E64EDD" w:rsidRDefault="00CC61EF" w:rsidP="00E64EDD">
      <w:pPr>
        <w:rPr>
          <w:sz w:val="24"/>
        </w:rPr>
      </w:pPr>
    </w:p>
    <w:p w14:paraId="376E8E3B" w14:textId="77777777" w:rsidR="00CC61EF" w:rsidRPr="00E64EDD" w:rsidRDefault="00CC61EF" w:rsidP="00E64EDD">
      <w:pPr>
        <w:rPr>
          <w:sz w:val="24"/>
        </w:rPr>
      </w:pPr>
      <w:r w:rsidRPr="00E64EDD">
        <w:rPr>
          <w:sz w:val="24"/>
        </w:rPr>
        <w:t>Frage 7:</w:t>
      </w:r>
    </w:p>
    <w:p w14:paraId="27533930" w14:textId="186C3F54" w:rsidR="00CC61EF" w:rsidRDefault="00CC61EF" w:rsidP="00E64EDD">
      <w:pPr>
        <w:rPr>
          <w:sz w:val="24"/>
        </w:rPr>
      </w:pPr>
      <w:r w:rsidRPr="00E64EDD">
        <w:rPr>
          <w:sz w:val="24"/>
        </w:rPr>
        <w:t xml:space="preserve">Die </w:t>
      </w:r>
      <w:r w:rsidRPr="004142AF">
        <w:rPr>
          <w:b/>
          <w:sz w:val="24"/>
        </w:rPr>
        <w:t>Erfolgsquoten</w:t>
      </w:r>
      <w:r w:rsidRPr="00E64EDD">
        <w:rPr>
          <w:sz w:val="24"/>
        </w:rPr>
        <w:t xml:space="preserve"> aus Sicht der Geflüchteten</w:t>
      </w:r>
      <w:r w:rsidR="002155D8">
        <w:rPr>
          <w:sz w:val="24"/>
        </w:rPr>
        <w:t xml:space="preserve"> </w:t>
      </w:r>
      <w:r w:rsidR="002155D8" w:rsidRPr="006710D5">
        <w:rPr>
          <w:b/>
          <w:sz w:val="24"/>
        </w:rPr>
        <w:t xml:space="preserve">in </w:t>
      </w:r>
      <w:r w:rsidR="006710D5" w:rsidRPr="006710D5">
        <w:rPr>
          <w:b/>
          <w:sz w:val="24"/>
        </w:rPr>
        <w:t xml:space="preserve">gerichtlichen </w:t>
      </w:r>
      <w:r w:rsidR="002155D8" w:rsidRPr="006710D5">
        <w:rPr>
          <w:b/>
          <w:sz w:val="24"/>
        </w:rPr>
        <w:t xml:space="preserve">Eilverfahren </w:t>
      </w:r>
      <w:r w:rsidRPr="006710D5">
        <w:rPr>
          <w:b/>
          <w:sz w:val="24"/>
        </w:rPr>
        <w:t>gegen Über</w:t>
      </w:r>
      <w:r w:rsidR="004142AF" w:rsidRPr="006710D5">
        <w:rPr>
          <w:b/>
          <w:sz w:val="24"/>
        </w:rPr>
        <w:t>stellungen</w:t>
      </w:r>
      <w:r w:rsidR="004142AF">
        <w:rPr>
          <w:sz w:val="24"/>
        </w:rPr>
        <w:t xml:space="preserve"> sind unterschiedlich:</w:t>
      </w:r>
      <w:r w:rsidRPr="00E64EDD">
        <w:rPr>
          <w:sz w:val="24"/>
        </w:rPr>
        <w:t xml:space="preserve"> Jede 4. Überstellung nach </w:t>
      </w:r>
      <w:r w:rsidRPr="004142AF">
        <w:rPr>
          <w:b/>
          <w:sz w:val="24"/>
        </w:rPr>
        <w:t>Italien</w:t>
      </w:r>
      <w:r w:rsidRPr="00E64EDD">
        <w:rPr>
          <w:sz w:val="24"/>
        </w:rPr>
        <w:t xml:space="preserve"> wird von den Gerichten im Eilverfahren verhindert (</w:t>
      </w:r>
      <w:r w:rsidRPr="004142AF">
        <w:rPr>
          <w:b/>
          <w:sz w:val="24"/>
        </w:rPr>
        <w:t>24,</w:t>
      </w:r>
      <w:r w:rsidR="006710D5">
        <w:rPr>
          <w:b/>
          <w:sz w:val="24"/>
        </w:rPr>
        <w:t>4</w:t>
      </w:r>
      <w:r w:rsidRPr="004142AF">
        <w:rPr>
          <w:b/>
          <w:sz w:val="24"/>
        </w:rPr>
        <w:t>%)</w:t>
      </w:r>
      <w:r w:rsidRPr="00E64EDD">
        <w:rPr>
          <w:sz w:val="24"/>
        </w:rPr>
        <w:t xml:space="preserve">, bei </w:t>
      </w:r>
      <w:r w:rsidRPr="004142AF">
        <w:rPr>
          <w:b/>
          <w:sz w:val="24"/>
        </w:rPr>
        <w:t>Bulgarien</w:t>
      </w:r>
      <w:r w:rsidRPr="00E64EDD">
        <w:rPr>
          <w:sz w:val="24"/>
        </w:rPr>
        <w:t xml:space="preserve"> liegt die Erfolgsquote bei </w:t>
      </w:r>
      <w:r w:rsidRPr="004142AF">
        <w:rPr>
          <w:b/>
          <w:sz w:val="24"/>
        </w:rPr>
        <w:t>6</w:t>
      </w:r>
      <w:r w:rsidR="006710D5">
        <w:rPr>
          <w:b/>
          <w:sz w:val="24"/>
        </w:rPr>
        <w:t>1</w:t>
      </w:r>
      <w:r w:rsidRPr="004142AF">
        <w:rPr>
          <w:b/>
          <w:sz w:val="24"/>
        </w:rPr>
        <w:t>%</w:t>
      </w:r>
      <w:r w:rsidR="004142AF">
        <w:rPr>
          <w:sz w:val="24"/>
        </w:rPr>
        <w:t xml:space="preserve"> [</w:t>
      </w:r>
      <w:r w:rsidR="006710D5">
        <w:rPr>
          <w:sz w:val="24"/>
        </w:rPr>
        <w:t>das ist auch angesichts der aktuellen Diskussion darüber</w:t>
      </w:r>
      <w:r w:rsidR="00683441" w:rsidRPr="00683441">
        <w:rPr>
          <w:sz w:val="24"/>
        </w:rPr>
        <w:t xml:space="preserve"> </w:t>
      </w:r>
      <w:r w:rsidR="00683441">
        <w:rPr>
          <w:sz w:val="24"/>
        </w:rPr>
        <w:t>interessant</w:t>
      </w:r>
      <w:r w:rsidR="006710D5">
        <w:rPr>
          <w:sz w:val="24"/>
        </w:rPr>
        <w:t>, warum der mutmaßliche irakische Täter aus Chemnitz nicht n</w:t>
      </w:r>
      <w:r w:rsidR="00683441">
        <w:rPr>
          <w:sz w:val="24"/>
        </w:rPr>
        <w:t xml:space="preserve">ach Bulgarien abgeschoben wurde </w:t>
      </w:r>
      <w:r w:rsidR="006710D5">
        <w:rPr>
          <w:sz w:val="24"/>
        </w:rPr>
        <w:t>– in Bulgarien herrschen für Asylsuchende und anerkannte Flüchtlinge oft unmenschliche Bedingungen, weshalb sich Überstellungen dorthin verbieten!</w:t>
      </w:r>
      <w:r w:rsidR="004142AF">
        <w:rPr>
          <w:sz w:val="24"/>
        </w:rPr>
        <w:t>]</w:t>
      </w:r>
    </w:p>
    <w:p w14:paraId="76E960F7" w14:textId="77777777" w:rsidR="00415E3A" w:rsidRPr="00E64EDD" w:rsidRDefault="00415E3A" w:rsidP="00E64EDD">
      <w:pPr>
        <w:rPr>
          <w:sz w:val="24"/>
        </w:rPr>
      </w:pPr>
    </w:p>
    <w:p w14:paraId="3EC5B26A" w14:textId="77777777" w:rsidR="00CC61EF" w:rsidRPr="00E64EDD" w:rsidRDefault="00CC61EF" w:rsidP="00E64EDD">
      <w:pPr>
        <w:rPr>
          <w:sz w:val="24"/>
        </w:rPr>
      </w:pPr>
    </w:p>
    <w:p w14:paraId="0D007F4C" w14:textId="3640441E" w:rsidR="006710D5" w:rsidRDefault="00FD3E54" w:rsidP="00E64EDD">
      <w:pPr>
        <w:rPr>
          <w:sz w:val="24"/>
        </w:rPr>
      </w:pPr>
      <w:r>
        <w:rPr>
          <w:sz w:val="24"/>
        </w:rPr>
        <w:t>Sehr interessant ist die Antwort zu Frage 9</w:t>
      </w:r>
      <w:r w:rsidR="00983E52">
        <w:rPr>
          <w:sz w:val="24"/>
        </w:rPr>
        <w:t xml:space="preserve">, wo nach dem </w:t>
      </w:r>
      <w:r w:rsidR="00983E52" w:rsidRPr="00683441">
        <w:rPr>
          <w:b/>
          <w:sz w:val="24"/>
        </w:rPr>
        <w:t>Stand der Verhandlungen über</w:t>
      </w:r>
      <w:r w:rsidR="00983E52">
        <w:rPr>
          <w:sz w:val="24"/>
        </w:rPr>
        <w:t xml:space="preserve"> </w:t>
      </w:r>
      <w:r w:rsidR="00983E52" w:rsidRPr="00415E3A">
        <w:rPr>
          <w:b/>
          <w:sz w:val="24"/>
        </w:rPr>
        <w:t>Verwaltungsvereinbarungen zur Beschleunigung von Dublin-Verfahren</w:t>
      </w:r>
      <w:r w:rsidR="00983E52">
        <w:rPr>
          <w:sz w:val="24"/>
        </w:rPr>
        <w:t xml:space="preserve"> gefragt wurde</w:t>
      </w:r>
      <w:r w:rsidR="000B4B94">
        <w:rPr>
          <w:sz w:val="24"/>
        </w:rPr>
        <w:t>.</w:t>
      </w:r>
      <w:r>
        <w:rPr>
          <w:sz w:val="24"/>
        </w:rPr>
        <w:br/>
      </w:r>
      <w:r w:rsidR="00983E52">
        <w:rPr>
          <w:sz w:val="24"/>
        </w:rPr>
        <w:t xml:space="preserve">Denn es fällt auf, dass die bereits beschlossenen bzw. kurz vor Abschluss stehenden </w:t>
      </w:r>
      <w:r w:rsidR="00983E52" w:rsidRPr="00683441">
        <w:rPr>
          <w:b/>
          <w:sz w:val="24"/>
        </w:rPr>
        <w:t xml:space="preserve">Vereinbarungen mit Spanien, Griechenland und Italien hier mit keinem Wort erwähnt </w:t>
      </w:r>
      <w:r w:rsidR="00983E52">
        <w:rPr>
          <w:sz w:val="24"/>
        </w:rPr>
        <w:t>werden, stattdessen wird auf laufende Verhandlungen mit Frankreich und Portugal verwiesen (sowie auf Kontakte auf Arbeitsebene mit weiteren Ländern). Ziel seien Verwaltungsvereinbarungen nach Art. 36 Dublin-VO zur effizienten Gestaltung von Dublin-Verfahren.</w:t>
      </w:r>
    </w:p>
    <w:p w14:paraId="7809DB4E" w14:textId="40AB9873" w:rsidR="00983E52" w:rsidRDefault="00983E52" w:rsidP="00E64EDD">
      <w:pPr>
        <w:rPr>
          <w:sz w:val="24"/>
        </w:rPr>
      </w:pPr>
      <w:r w:rsidRPr="00415E3A">
        <w:rPr>
          <w:b/>
          <w:sz w:val="24"/>
        </w:rPr>
        <w:t>Das</w:t>
      </w:r>
      <w:r>
        <w:rPr>
          <w:sz w:val="24"/>
        </w:rPr>
        <w:t xml:space="preserve"> </w:t>
      </w:r>
      <w:r w:rsidRPr="00415E3A">
        <w:rPr>
          <w:b/>
          <w:sz w:val="24"/>
        </w:rPr>
        <w:t>könnte bedeuten, dass die Vereinbarungen mit Spanien, Griechenland und Italien – anders als es bislang diskutiert und öffentlich dargestellt wurde - gerade keine Vereinbarungen nach Art. 36 Dublin-VO sind</w:t>
      </w:r>
      <w:r>
        <w:rPr>
          <w:sz w:val="24"/>
        </w:rPr>
        <w:t xml:space="preserve"> (die </w:t>
      </w:r>
      <w:r w:rsidR="00415E3A">
        <w:rPr>
          <w:sz w:val="24"/>
        </w:rPr>
        <w:t>vereinbarte</w:t>
      </w:r>
      <w:r>
        <w:rPr>
          <w:sz w:val="24"/>
        </w:rPr>
        <w:t xml:space="preserve"> 48-Stunden-Frist </w:t>
      </w:r>
      <w:r w:rsidR="00415E3A">
        <w:rPr>
          <w:sz w:val="24"/>
        </w:rPr>
        <w:t xml:space="preserve">zur Zurücküberstellung </w:t>
      </w:r>
      <w:r>
        <w:rPr>
          <w:sz w:val="24"/>
        </w:rPr>
        <w:t>wäre auch schwerlich mit der Dublin-Vereinbarung vereinbar, d</w:t>
      </w:r>
      <w:r w:rsidR="00415E3A">
        <w:rPr>
          <w:sz w:val="24"/>
        </w:rPr>
        <w:t>a zumindest eine einwöchige Frist zur Einlegung von effektiven Rechtsmitteln gegen eine Dublin-Entscheidung gegeben sein müsste</w:t>
      </w:r>
      <w:r>
        <w:rPr>
          <w:sz w:val="24"/>
        </w:rPr>
        <w:t xml:space="preserve">). </w:t>
      </w:r>
      <w:r>
        <w:rPr>
          <w:sz w:val="24"/>
        </w:rPr>
        <w:br/>
        <w:t>Eine dahingehend sensibilisierte Re-Lektüre einer Pressemitteilung des BMI vom 9.8.2018</w:t>
      </w:r>
      <w:r w:rsidR="00415E3A">
        <w:rPr>
          <w:sz w:val="24"/>
        </w:rPr>
        <w:t xml:space="preserve"> zur deutsch-spanischen Vereinbarung</w:t>
      </w:r>
      <w:r>
        <w:rPr>
          <w:sz w:val="24"/>
        </w:rPr>
        <w:t xml:space="preserve"> (</w:t>
      </w:r>
      <w:hyperlink r:id="rId8" w:history="1">
        <w:r w:rsidRPr="00857216">
          <w:rPr>
            <w:rStyle w:val="Hyperlink"/>
            <w:sz w:val="24"/>
          </w:rPr>
          <w:t>https://www.bmi.bund.de/SharedDocs/kurzmeldungen/DE/2018/08/verwaltungsabsprache-spanien.html</w:t>
        </w:r>
      </w:hyperlink>
      <w:r>
        <w:rPr>
          <w:sz w:val="24"/>
        </w:rPr>
        <w:t xml:space="preserve">) </w:t>
      </w:r>
      <w:r w:rsidR="00683441">
        <w:rPr>
          <w:sz w:val="24"/>
        </w:rPr>
        <w:t>könnte</w:t>
      </w:r>
      <w:r w:rsidR="00415E3A">
        <w:rPr>
          <w:sz w:val="24"/>
        </w:rPr>
        <w:t xml:space="preserve"> diesen Verdacht</w:t>
      </w:r>
      <w:r w:rsidR="00683441">
        <w:rPr>
          <w:sz w:val="24"/>
        </w:rPr>
        <w:t xml:space="preserve"> bestätigen</w:t>
      </w:r>
      <w:r>
        <w:rPr>
          <w:sz w:val="24"/>
        </w:rPr>
        <w:t>: Dort ist zum einen nicht von einer Verwaltungsvereinbarung (nach Art. 36 Dublin-VO)</w:t>
      </w:r>
      <w:r w:rsidR="00415E3A">
        <w:rPr>
          <w:sz w:val="24"/>
        </w:rPr>
        <w:t>, sondern von einer „Verwaltungsabsprache“</w:t>
      </w:r>
      <w:r>
        <w:rPr>
          <w:sz w:val="24"/>
        </w:rPr>
        <w:t xml:space="preserve"> die Rede. Zum anderen heißt es: „</w:t>
      </w:r>
      <w:r w:rsidRPr="00BF7342">
        <w:rPr>
          <w:sz w:val="24"/>
          <w:u w:val="single"/>
        </w:rPr>
        <w:t>Es findet keine Einreise nach Deutschland statt“.</w:t>
      </w:r>
    </w:p>
    <w:p w14:paraId="23F666CB" w14:textId="1C3B621C" w:rsidR="00415E3A" w:rsidRDefault="00415E3A" w:rsidP="00E64EDD">
      <w:pPr>
        <w:rPr>
          <w:sz w:val="24"/>
        </w:rPr>
      </w:pPr>
      <w:r>
        <w:rPr>
          <w:sz w:val="24"/>
        </w:rPr>
        <w:t>Besagte Verwaltungsabsprachen (die noch nicht veröffentlich</w:t>
      </w:r>
      <w:r w:rsidR="00683441">
        <w:rPr>
          <w:sz w:val="24"/>
        </w:rPr>
        <w:t>t</w:t>
      </w:r>
      <w:r>
        <w:rPr>
          <w:sz w:val="24"/>
        </w:rPr>
        <w:t xml:space="preserve"> und auch den Mitgliedern des Bundestages nicht zur Kenntnis gegeben wurden) könnten also vorsehen, dass die schnelle Rücküberstellung (nach Spanien, Griechenland, Italien) von Schutzsuchenden mit einem EURODAC 1-Treffer an der deutsch-österreichischen Grenze jenseits der Regeln der Dublin-Verordnung erfolgen soll, weil die Betroffenen</w:t>
      </w:r>
      <w:r w:rsidR="00683441">
        <w:rPr>
          <w:sz w:val="24"/>
        </w:rPr>
        <w:t xml:space="preserve"> (angeblich)</w:t>
      </w:r>
      <w:r>
        <w:rPr>
          <w:sz w:val="24"/>
        </w:rPr>
        <w:t xml:space="preserve"> noch nicht nach Deutschland eingereist seien. Das wäre allerdings unionsrechtlich </w:t>
      </w:r>
      <w:r w:rsidR="00683441">
        <w:rPr>
          <w:sz w:val="24"/>
        </w:rPr>
        <w:t>höchst</w:t>
      </w:r>
      <w:r>
        <w:rPr>
          <w:sz w:val="24"/>
        </w:rPr>
        <w:t xml:space="preserve"> problematisch, weil es nationale Vereinbarungen in einem Bereich, der EU-rechtlich geregelt ist, nicht geben kann / darf.</w:t>
      </w:r>
    </w:p>
    <w:p w14:paraId="391E55E4" w14:textId="77777777" w:rsidR="00BF7342" w:rsidRDefault="00BF7342" w:rsidP="00E64EDD">
      <w:pPr>
        <w:rPr>
          <w:sz w:val="24"/>
        </w:rPr>
      </w:pPr>
    </w:p>
    <w:p w14:paraId="708841E3" w14:textId="0A8F909D" w:rsidR="00BF7342" w:rsidRPr="00BF7342" w:rsidRDefault="00BF7342" w:rsidP="00BF7342">
      <w:pPr>
        <w:rPr>
          <w:sz w:val="24"/>
        </w:rPr>
      </w:pPr>
      <w:r w:rsidRPr="00BF7342">
        <w:rPr>
          <w:b/>
          <w:sz w:val="24"/>
        </w:rPr>
        <w:t xml:space="preserve">AKTUELLE ERGÄNZUNG: </w:t>
      </w:r>
      <w:r w:rsidRPr="00BF7342">
        <w:rPr>
          <w:b/>
          <w:sz w:val="24"/>
        </w:rPr>
        <w:br/>
      </w:r>
      <w:r>
        <w:rPr>
          <w:sz w:val="24"/>
        </w:rPr>
        <w:t xml:space="preserve">Infolge einer Journalisten-Nachfrage </w:t>
      </w:r>
      <w:r w:rsidRPr="00E81180">
        <w:rPr>
          <w:b/>
          <w:sz w:val="24"/>
        </w:rPr>
        <w:t>bestätigte das BMI, dass die Abkommen mit</w:t>
      </w:r>
      <w:r w:rsidR="00E81180" w:rsidRPr="00E81180">
        <w:rPr>
          <w:b/>
          <w:sz w:val="24"/>
        </w:rPr>
        <w:t xml:space="preserve"> Spanien und Griechenland </w:t>
      </w:r>
      <w:r w:rsidR="00E81180" w:rsidRPr="00FF65BC">
        <w:rPr>
          <w:b/>
          <w:sz w:val="24"/>
          <w:u w:val="single"/>
        </w:rPr>
        <w:t xml:space="preserve">keine Vereinbarungen nach </w:t>
      </w:r>
      <w:r w:rsidRPr="00FF65BC">
        <w:rPr>
          <w:b/>
          <w:sz w:val="24"/>
          <w:u w:val="single"/>
        </w:rPr>
        <w:t>Art.</w:t>
      </w:r>
      <w:r w:rsidR="00E81180" w:rsidRPr="00FF65BC">
        <w:rPr>
          <w:b/>
          <w:sz w:val="24"/>
          <w:u w:val="single"/>
        </w:rPr>
        <w:t xml:space="preserve"> </w:t>
      </w:r>
      <w:r w:rsidRPr="00FF65BC">
        <w:rPr>
          <w:b/>
          <w:sz w:val="24"/>
          <w:u w:val="single"/>
        </w:rPr>
        <w:t>36</w:t>
      </w:r>
      <w:r w:rsidR="00E81180" w:rsidRPr="00FF65BC">
        <w:rPr>
          <w:b/>
          <w:sz w:val="24"/>
          <w:u w:val="single"/>
        </w:rPr>
        <w:t xml:space="preserve"> Dublin-VO</w:t>
      </w:r>
      <w:r w:rsidR="00E81180" w:rsidRPr="00E81180">
        <w:rPr>
          <w:b/>
          <w:sz w:val="24"/>
        </w:rPr>
        <w:t xml:space="preserve"> seien</w:t>
      </w:r>
      <w:r w:rsidR="00E81180">
        <w:rPr>
          <w:sz w:val="24"/>
        </w:rPr>
        <w:t xml:space="preserve">! Es handele sich um </w:t>
      </w:r>
      <w:r w:rsidRPr="00BF7342">
        <w:rPr>
          <w:sz w:val="24"/>
        </w:rPr>
        <w:t>Abkommen</w:t>
      </w:r>
      <w:r w:rsidR="00E81180">
        <w:rPr>
          <w:sz w:val="24"/>
        </w:rPr>
        <w:t>,</w:t>
      </w:r>
      <w:r w:rsidRPr="00BF7342">
        <w:rPr>
          <w:sz w:val="24"/>
        </w:rPr>
        <w:t xml:space="preserve"> um </w:t>
      </w:r>
      <w:r w:rsidR="00E81180">
        <w:rPr>
          <w:sz w:val="24"/>
        </w:rPr>
        <w:t xml:space="preserve">vor (!) dem </w:t>
      </w:r>
      <w:r w:rsidRPr="00BF7342">
        <w:rPr>
          <w:sz w:val="24"/>
        </w:rPr>
        <w:t xml:space="preserve">Grenzübertritt eine Zurückweisung an der Grenze direkt in das Land </w:t>
      </w:r>
      <w:r w:rsidR="00E81180">
        <w:rPr>
          <w:sz w:val="24"/>
        </w:rPr>
        <w:t>des</w:t>
      </w:r>
      <w:r w:rsidRPr="00BF7342">
        <w:rPr>
          <w:sz w:val="24"/>
        </w:rPr>
        <w:t xml:space="preserve"> ersten Asylantrags </w:t>
      </w:r>
      <w:r w:rsidR="00E81180">
        <w:rPr>
          <w:sz w:val="24"/>
        </w:rPr>
        <w:t>vorzunehmen</w:t>
      </w:r>
      <w:r w:rsidRPr="00BF7342">
        <w:rPr>
          <w:sz w:val="24"/>
        </w:rPr>
        <w:t>. Art. 36</w:t>
      </w:r>
      <w:r w:rsidR="00E81180">
        <w:rPr>
          <w:sz w:val="24"/>
        </w:rPr>
        <w:t xml:space="preserve"> </w:t>
      </w:r>
      <w:r w:rsidRPr="00BF7342">
        <w:rPr>
          <w:sz w:val="24"/>
        </w:rPr>
        <w:t xml:space="preserve">setze </w:t>
      </w:r>
      <w:r w:rsidR="00FF65BC">
        <w:rPr>
          <w:sz w:val="24"/>
        </w:rPr>
        <w:t xml:space="preserve">hingegen </w:t>
      </w:r>
      <w:r w:rsidRPr="00BF7342">
        <w:rPr>
          <w:sz w:val="24"/>
        </w:rPr>
        <w:t xml:space="preserve">einen Asylantrag in Deutschland voraus, </w:t>
      </w:r>
      <w:r w:rsidR="00E81180">
        <w:rPr>
          <w:sz w:val="24"/>
        </w:rPr>
        <w:t xml:space="preserve">nach (!) einem </w:t>
      </w:r>
      <w:r w:rsidRPr="00BF7342">
        <w:rPr>
          <w:sz w:val="24"/>
        </w:rPr>
        <w:t>Grenzübertritt</w:t>
      </w:r>
      <w:r w:rsidR="00E81180">
        <w:rPr>
          <w:sz w:val="24"/>
        </w:rPr>
        <w:t>.</w:t>
      </w:r>
    </w:p>
    <w:p w14:paraId="3654A4AA" w14:textId="47ACF464" w:rsidR="00BF7342" w:rsidRDefault="00E81180" w:rsidP="00BF7342">
      <w:pPr>
        <w:rPr>
          <w:sz w:val="24"/>
        </w:rPr>
      </w:pPr>
      <w:r>
        <w:rPr>
          <w:sz w:val="24"/>
        </w:rPr>
        <w:t xml:space="preserve">Das ist </w:t>
      </w:r>
      <w:r w:rsidRPr="00E81180">
        <w:rPr>
          <w:b/>
          <w:sz w:val="24"/>
        </w:rPr>
        <w:t>überraschend</w:t>
      </w:r>
      <w:r>
        <w:rPr>
          <w:sz w:val="24"/>
        </w:rPr>
        <w:t xml:space="preserve"> – und </w:t>
      </w:r>
      <w:r w:rsidRPr="00E81180">
        <w:rPr>
          <w:b/>
          <w:sz w:val="24"/>
        </w:rPr>
        <w:t>rechtlich höchst zweifelhaft</w:t>
      </w:r>
      <w:r>
        <w:rPr>
          <w:sz w:val="24"/>
        </w:rPr>
        <w:t>!</w:t>
      </w:r>
    </w:p>
    <w:p w14:paraId="683DE9B1" w14:textId="77777777" w:rsidR="00BF7342" w:rsidRDefault="00BF7342" w:rsidP="00BF7342">
      <w:pPr>
        <w:rPr>
          <w:sz w:val="24"/>
        </w:rPr>
      </w:pPr>
    </w:p>
    <w:p w14:paraId="493940E8" w14:textId="7C164D8D" w:rsidR="00FF65BC" w:rsidRPr="00FF65BC" w:rsidRDefault="00FF65BC" w:rsidP="00FF65BC">
      <w:pPr>
        <w:rPr>
          <w:sz w:val="24"/>
          <w:lang w:val="x-none"/>
        </w:rPr>
      </w:pPr>
      <w:r>
        <w:rPr>
          <w:sz w:val="24"/>
        </w:rPr>
        <w:lastRenderedPageBreak/>
        <w:t>Prof. Dr. Jürgen Bast:</w:t>
      </w:r>
      <w:r>
        <w:rPr>
          <w:sz w:val="24"/>
        </w:rPr>
        <w:br/>
        <w:t>„</w:t>
      </w:r>
      <w:r w:rsidRPr="00FF65BC">
        <w:rPr>
          <w:sz w:val="24"/>
          <w:lang w:val="x-none"/>
        </w:rPr>
        <w:t>Durch bilaterale Abkommen zwischen Mitgliedstaaten können ebenso wenig wie durch einzelstaatliches Handeln Rechte abgeschafft/verweigert werden, die die Dublin-Verordnung gewährleistet. Dazu gehören auch das Recht auf Zugang zum Asylverfahren sowie der Rechtsschutz (auch gegen Dublin-Entscheidungen). Der Vorrang des Unionsrechts gilt für jegliches Handeln der Mitgliedstaaten, auch wenn diese sich dabei völkerrechtlicher Formen bedienen, also miteinander »Verwaltungsvereinbarungen« o.Ä. schließen. Die Rechtsschutzgarantie der Dublin-Verordnung (hinter der Art. 47 Abs. 1 Grundrechte-Charta steht) muss jedoch gewährleistet sein.</w:t>
      </w:r>
    </w:p>
    <w:p w14:paraId="347BD7C1" w14:textId="0470EEE6" w:rsidR="00FF65BC" w:rsidRPr="00FF65BC" w:rsidRDefault="00FF65BC" w:rsidP="00FF65BC">
      <w:pPr>
        <w:rPr>
          <w:sz w:val="24"/>
        </w:rPr>
      </w:pPr>
      <w:r w:rsidRPr="00FF65BC">
        <w:rPr>
          <w:sz w:val="24"/>
        </w:rPr>
        <w:t>Der Vorrang des Europarechts vor nationalem Recht gehört zu den verfassungsrechtlichen Grundpfeilern für jedes Mitglied der EU. Es geht auf ein Grundsatzurteil des Europäischen Gerichthofs aus dem Jahr 1963 zurück (Urteil Costa/ENEL) und ist seitdem ständige Rechtsprechung. Diese Grundregel wird auch vom Bundesverfassungsgericht anerkannt.</w:t>
      </w:r>
      <w:r>
        <w:rPr>
          <w:sz w:val="24"/>
        </w:rPr>
        <w:t xml:space="preserve">“ </w:t>
      </w:r>
    </w:p>
    <w:p w14:paraId="12043D36" w14:textId="51288DDF" w:rsidR="00FF65BC" w:rsidRDefault="00FF65BC" w:rsidP="00BF7342">
      <w:pPr>
        <w:rPr>
          <w:sz w:val="24"/>
        </w:rPr>
      </w:pPr>
    </w:p>
    <w:p w14:paraId="18E535A4" w14:textId="68E14710" w:rsidR="00FF65BC" w:rsidRDefault="00FF65BC" w:rsidP="00BF7342">
      <w:pPr>
        <w:rPr>
          <w:sz w:val="24"/>
        </w:rPr>
      </w:pPr>
      <w:r>
        <w:rPr>
          <w:sz w:val="24"/>
        </w:rPr>
        <w:t xml:space="preserve">In einer Stellungnahme des Deutschen Instituts für Menschenrechte </w:t>
      </w:r>
      <w:hyperlink r:id="rId9" w:history="1">
        <w:r w:rsidRPr="00C57443">
          <w:rPr>
            <w:rStyle w:val="Hyperlink"/>
            <w:sz w:val="24"/>
          </w:rPr>
          <w:t>https://www.institut-fuer-menschenrechte.de/fileadmin/user_upload/Publikationen/Stellungnahmen/Stellungnahme_Zurueckweisungen_von_Fluechtlingen_an_der_Grenze_Zweite_Auflage.pdf</w:t>
        </w:r>
      </w:hyperlink>
      <w:r>
        <w:rPr>
          <w:sz w:val="24"/>
        </w:rPr>
        <w:t>) heißt es (S. 9): „</w:t>
      </w:r>
      <w:r w:rsidRPr="00FF65BC">
        <w:rPr>
          <w:sz w:val="24"/>
        </w:rPr>
        <w:t>Vereinbarungen, die von der Verordnung abweichen, sind demnach grundsätzlich nicht zulässig. Dies lässt sich damit erklären, dass die Dublin III-Verordnung der Vereinheitlichung des Europäischen Asylsystems dient. Eine Vereinbarung, der zufolge Deutschland Menschen, die Asyl suchen, einfach an der Grenze zurückweisen könnte, wäre daher nicht zulässig.</w:t>
      </w:r>
      <w:r w:rsidR="003A54E1">
        <w:rPr>
          <w:sz w:val="24"/>
        </w:rPr>
        <w:t xml:space="preserve"> (…) </w:t>
      </w:r>
      <w:r w:rsidR="003A54E1" w:rsidRPr="003A54E1">
        <w:rPr>
          <w:sz w:val="24"/>
        </w:rPr>
        <w:t>Die klaren Zuständigkeitsregelungen in der Dublin III</w:t>
      </w:r>
      <w:r w:rsidR="003A54E1">
        <w:rPr>
          <w:sz w:val="24"/>
        </w:rPr>
        <w:t>-</w:t>
      </w:r>
      <w:r w:rsidR="003A54E1" w:rsidRPr="003A54E1">
        <w:rPr>
          <w:sz w:val="24"/>
        </w:rPr>
        <w:t>Verordnung und damit auch die im Dublin-Verfahren menschenrechtlich gebotene Prüfung der Zuständigkeit etwa unter Aspekten des Rechts auf Familienleben und des Kindeswohls kämen damit ins Wanken. Die Abänderung der Rechtsvorschriften der Dublin III-Verordnung wäre rechtlich nicht zulässig und wegen des Vorrangs europäischen Rechts auch nicht möglich.</w:t>
      </w:r>
      <w:r w:rsidR="003A54E1">
        <w:rPr>
          <w:sz w:val="24"/>
        </w:rPr>
        <w:t>“</w:t>
      </w:r>
    </w:p>
    <w:p w14:paraId="257032D1" w14:textId="2534299E" w:rsidR="003A54E1" w:rsidRDefault="003A54E1" w:rsidP="00BF7342">
      <w:pPr>
        <w:rPr>
          <w:sz w:val="24"/>
        </w:rPr>
      </w:pPr>
      <w:r>
        <w:rPr>
          <w:sz w:val="24"/>
        </w:rPr>
        <w:t xml:space="preserve">Das viel zitierte </w:t>
      </w:r>
      <w:r w:rsidRPr="003A54E1">
        <w:rPr>
          <w:sz w:val="24"/>
          <w:u w:val="single"/>
        </w:rPr>
        <w:t>französisch-italienische Rückübernahmeabkommen</w:t>
      </w:r>
      <w:r>
        <w:rPr>
          <w:sz w:val="24"/>
        </w:rPr>
        <w:t xml:space="preserve"> aus dem Jahr 1997 sehe eine ausdrückliche Ausnahmeregelung für Fälle vor, auf die die Dublin-Regelungen anwendbar seien. Die französische Justiz habe 2017 und 2018 </w:t>
      </w:r>
      <w:r w:rsidR="00E23AE2">
        <w:rPr>
          <w:sz w:val="24"/>
        </w:rPr>
        <w:t xml:space="preserve">direkte </w:t>
      </w:r>
      <w:r>
        <w:rPr>
          <w:sz w:val="24"/>
        </w:rPr>
        <w:t xml:space="preserve">Zurückweisungen </w:t>
      </w:r>
      <w:r w:rsidR="00E23AE2">
        <w:rPr>
          <w:sz w:val="24"/>
        </w:rPr>
        <w:t xml:space="preserve">von in Italien registrierten Schutzsuchenden </w:t>
      </w:r>
      <w:r>
        <w:rPr>
          <w:sz w:val="24"/>
        </w:rPr>
        <w:t>an der französisch-italienischen Grenze</w:t>
      </w:r>
      <w:r w:rsidR="00E23AE2">
        <w:rPr>
          <w:sz w:val="24"/>
        </w:rPr>
        <w:t xml:space="preserve"> mit der Begründung,</w:t>
      </w:r>
      <w:r>
        <w:rPr>
          <w:sz w:val="24"/>
        </w:rPr>
        <w:t xml:space="preserve"> </w:t>
      </w:r>
      <w:r w:rsidR="00E23AE2">
        <w:rPr>
          <w:sz w:val="24"/>
        </w:rPr>
        <w:t xml:space="preserve">es stünde fest, dass Italien der zuständige Dublin-Staat sei, </w:t>
      </w:r>
      <w:r>
        <w:rPr>
          <w:sz w:val="24"/>
        </w:rPr>
        <w:t>mehrfach für europa- und menschenrechtswidrig erklärt (a.a.O., S. 10).</w:t>
      </w:r>
    </w:p>
    <w:p w14:paraId="115728F9" w14:textId="77777777" w:rsidR="00FF65BC" w:rsidRPr="00BF7342" w:rsidRDefault="00FF65BC" w:rsidP="00BF7342">
      <w:pPr>
        <w:rPr>
          <w:sz w:val="24"/>
        </w:rPr>
      </w:pPr>
    </w:p>
    <w:p w14:paraId="3A45EDF1" w14:textId="1074688B" w:rsidR="00BF7342" w:rsidRDefault="00E23AE2" w:rsidP="00BF7342">
      <w:pPr>
        <w:rPr>
          <w:sz w:val="24"/>
        </w:rPr>
      </w:pPr>
      <w:r>
        <w:rPr>
          <w:sz w:val="24"/>
        </w:rPr>
        <w:t xml:space="preserve">Direkte Zurückweisungen, wie jetzt bilateral vereinbart, ohne Prüfung der Zuständigkeit und ohne effektiven Rechtsschutz, sind mit der Dublin-Verordnung nicht vereinbar und damit unionsrechtswidrig. Vereinbarungen nach Art. 36 Dublin-VO bedürften einer vorherigen Zustimmung durch die EU-Kommission und würden die Grundregelungen der Dublin-Verordnung ebenfalls nicht außer Kraft setzen. </w:t>
      </w:r>
    </w:p>
    <w:p w14:paraId="1FD48B92" w14:textId="77777777" w:rsidR="00A9114A" w:rsidRDefault="00A9114A" w:rsidP="00BF7342">
      <w:pPr>
        <w:rPr>
          <w:sz w:val="24"/>
        </w:rPr>
      </w:pPr>
    </w:p>
    <w:p w14:paraId="4BC57C86" w14:textId="4AF4191A" w:rsidR="00A9114A" w:rsidRPr="00640674" w:rsidRDefault="00A9114A" w:rsidP="00A9114A">
      <w:pPr>
        <w:rPr>
          <w:i/>
          <w:sz w:val="24"/>
          <w:lang w:val="x-none"/>
        </w:rPr>
      </w:pPr>
      <w:r>
        <w:rPr>
          <w:sz w:val="24"/>
        </w:rPr>
        <w:t xml:space="preserve">Die </w:t>
      </w:r>
      <w:r w:rsidRPr="00640674">
        <w:rPr>
          <w:sz w:val="24"/>
          <w:u w:val="single"/>
        </w:rPr>
        <w:t>Verwaltungsabsprache zwischen Deutschland und Spanien vom 6. August</w:t>
      </w:r>
      <w:r>
        <w:rPr>
          <w:sz w:val="24"/>
        </w:rPr>
        <w:t xml:space="preserve"> soll unter anderem diese Regelung enthalten:</w:t>
      </w:r>
      <w:r>
        <w:rPr>
          <w:sz w:val="24"/>
        </w:rPr>
        <w:br/>
      </w:r>
      <w:r w:rsidRPr="00640674">
        <w:rPr>
          <w:i/>
          <w:sz w:val="24"/>
        </w:rPr>
        <w:t xml:space="preserve">Deutschland übernimmt die </w:t>
      </w:r>
      <w:r w:rsidRPr="00640674">
        <w:rPr>
          <w:i/>
          <w:sz w:val="24"/>
          <w:lang w:val="x-none"/>
        </w:rPr>
        <w:t xml:space="preserve">Reisekosten einer Rücküberstellung im Falle der Familienzusammenführung, sollte die überstellende Person in der Vergangenheit von </w:t>
      </w:r>
      <w:r w:rsidRPr="00640674">
        <w:rPr>
          <w:i/>
          <w:sz w:val="24"/>
        </w:rPr>
        <w:t xml:space="preserve">Deutschland </w:t>
      </w:r>
      <w:r w:rsidRPr="00640674">
        <w:rPr>
          <w:i/>
          <w:sz w:val="24"/>
          <w:lang w:val="x-none"/>
        </w:rPr>
        <w:t>nach Maßgabe der Absprache zurückgewiesen worden sein.</w:t>
      </w:r>
    </w:p>
    <w:p w14:paraId="4D73B888" w14:textId="464393D0" w:rsidR="00A9114A" w:rsidRPr="00A9114A" w:rsidRDefault="00A9114A" w:rsidP="00A9114A">
      <w:pPr>
        <w:rPr>
          <w:sz w:val="24"/>
        </w:rPr>
      </w:pPr>
      <w:r>
        <w:rPr>
          <w:sz w:val="24"/>
        </w:rPr>
        <w:t>In anderen Worten: In Fällen, in denen Deutschland aufgrund bestehender Familienbindungen der nach der Dublin-Verordnung zuständige Mitgliedstaat ist, es aber zunächst trotzdem zu einer Zurückweisung infolge der Verwaltungsvereinbarung kam, übernimmt Deutschland die Kosten der späteren erneuten Rücküberstellung nach Deutschland.</w:t>
      </w:r>
      <w:r w:rsidR="00640674">
        <w:rPr>
          <w:sz w:val="24"/>
        </w:rPr>
        <w:t xml:space="preserve"> Das ist ein indirektes Eingeständnis des Umstands, dass die pauschalen Zurückweisungen nach der Verwaltungsabsprache in bestimmten Fallkonstellationen gegen die Regeln der Dublin-Verordnung verstoßen.</w:t>
      </w:r>
    </w:p>
    <w:p w14:paraId="2D2F99E0" w14:textId="77777777" w:rsidR="00683441" w:rsidRDefault="00683441" w:rsidP="00E64EDD">
      <w:pPr>
        <w:rPr>
          <w:sz w:val="24"/>
        </w:rPr>
      </w:pPr>
    </w:p>
    <w:p w14:paraId="06C60CE5" w14:textId="77777777" w:rsidR="00415E3A" w:rsidRDefault="00415E3A" w:rsidP="00E64EDD">
      <w:pPr>
        <w:rPr>
          <w:sz w:val="24"/>
        </w:rPr>
      </w:pPr>
    </w:p>
    <w:p w14:paraId="25A3F5C1" w14:textId="14406DEE" w:rsidR="00415E3A" w:rsidRDefault="00415E3A" w:rsidP="00E64EDD">
      <w:pPr>
        <w:rPr>
          <w:sz w:val="24"/>
        </w:rPr>
      </w:pPr>
      <w:r>
        <w:rPr>
          <w:sz w:val="24"/>
        </w:rPr>
        <w:lastRenderedPageBreak/>
        <w:t xml:space="preserve">Fragen 10/11: </w:t>
      </w:r>
    </w:p>
    <w:p w14:paraId="699D6EDD" w14:textId="56F7336E" w:rsidR="00983E52" w:rsidRDefault="00415E3A" w:rsidP="00E64EDD">
      <w:pPr>
        <w:rPr>
          <w:sz w:val="24"/>
        </w:rPr>
      </w:pPr>
      <w:r>
        <w:rPr>
          <w:sz w:val="24"/>
        </w:rPr>
        <w:t>Auch diese „Nicht-Antworten“</w:t>
      </w:r>
      <w:r w:rsidR="00394FB1">
        <w:rPr>
          <w:sz w:val="24"/>
        </w:rPr>
        <w:t xml:space="preserve"> sind interessant:</w:t>
      </w:r>
      <w:r>
        <w:rPr>
          <w:sz w:val="24"/>
        </w:rPr>
        <w:t xml:space="preserve"> Der Verweis auf die Antwort auf </w:t>
      </w:r>
      <w:r w:rsidR="00683441">
        <w:rPr>
          <w:sz w:val="24"/>
        </w:rPr>
        <w:t>eine</w:t>
      </w:r>
      <w:r>
        <w:rPr>
          <w:sz w:val="24"/>
        </w:rPr>
        <w:t xml:space="preserve"> schriftliche Frage von Ulla Jelpke ergibt, dass „die Abteilungen B, M, V und E im Rahmen ihrer jeweiligen Zuständigen beteiligt“ gewesen seien</w:t>
      </w:r>
      <w:r w:rsidR="00394FB1">
        <w:rPr>
          <w:sz w:val="24"/>
        </w:rPr>
        <w:t xml:space="preserve"> bei der Erwägung von Zurückweisung</w:t>
      </w:r>
      <w:r w:rsidR="000B4B94">
        <w:rPr>
          <w:sz w:val="24"/>
        </w:rPr>
        <w:t>en</w:t>
      </w:r>
      <w:r w:rsidR="00394FB1">
        <w:rPr>
          <w:sz w:val="24"/>
        </w:rPr>
        <w:t xml:space="preserve"> Asylsuchender im BMI.</w:t>
      </w:r>
      <w:r w:rsidR="00394FB1">
        <w:rPr>
          <w:sz w:val="24"/>
        </w:rPr>
        <w:br/>
        <w:t xml:space="preserve">Die jetzige Frage 10 war </w:t>
      </w:r>
      <w:r w:rsidR="00683441">
        <w:rPr>
          <w:sz w:val="24"/>
        </w:rPr>
        <w:t xml:space="preserve">jedoch </w:t>
      </w:r>
      <w:r w:rsidR="00394FB1">
        <w:rPr>
          <w:sz w:val="24"/>
        </w:rPr>
        <w:t xml:space="preserve">eine Nachfrage hierzu, inwieweit die beteiligten Abteilungen im BMI unterschiedliche Rechtsauffassung dazu vertreten haben, ob eine direkte Zurückweisung Schutzsuchender an den Binnengrenzen bei Vorliegen eines EURODAC-Treffers ohne jeden </w:t>
      </w:r>
      <w:r w:rsidR="000B4B94">
        <w:rPr>
          <w:sz w:val="24"/>
        </w:rPr>
        <w:t>Zweifel rechtlich zulässig sei</w:t>
      </w:r>
      <w:r w:rsidR="00394FB1">
        <w:rPr>
          <w:sz w:val="24"/>
        </w:rPr>
        <w:t xml:space="preserve"> – denn diese Frage ist mindestens rechtlich höchst umstritten, während Innenminister Seehofer </w:t>
      </w:r>
      <w:r w:rsidR="00683441">
        <w:rPr>
          <w:sz w:val="24"/>
        </w:rPr>
        <w:t xml:space="preserve">nach seinen Auskünften </w:t>
      </w:r>
      <w:r w:rsidR="00394FB1">
        <w:rPr>
          <w:sz w:val="24"/>
        </w:rPr>
        <w:t>von Beamten gesagt worden sei, man befinde sich hier auf rechtlich sicherem Terrain.</w:t>
      </w:r>
    </w:p>
    <w:p w14:paraId="38CD3963" w14:textId="78D0BCC1" w:rsidR="00394FB1" w:rsidRDefault="00394FB1" w:rsidP="00E64EDD">
      <w:pPr>
        <w:rPr>
          <w:sz w:val="24"/>
        </w:rPr>
      </w:pPr>
      <w:r>
        <w:rPr>
          <w:sz w:val="24"/>
        </w:rPr>
        <w:t xml:space="preserve">Die Frage nach unterschiedlichen Rechtsauffassungen innerhalb des BMI wurde auch vor dem Hintergrund eines Zeitungsartikels (Süddeutsche Zeitung) gestellt, in dem in Bezug auf die </w:t>
      </w:r>
      <w:r w:rsidRPr="00F63F9B">
        <w:rPr>
          <w:b/>
          <w:sz w:val="24"/>
        </w:rPr>
        <w:t xml:space="preserve">Entscheidung vom September 2015, keine Schutzsuchenden an den </w:t>
      </w:r>
      <w:r w:rsidR="00683441">
        <w:rPr>
          <w:b/>
          <w:sz w:val="24"/>
        </w:rPr>
        <w:t>deutschen Binnen-</w:t>
      </w:r>
      <w:r w:rsidRPr="00F63F9B">
        <w:rPr>
          <w:b/>
          <w:sz w:val="24"/>
        </w:rPr>
        <w:t>Grenzen zurückzuweisen</w:t>
      </w:r>
      <w:r>
        <w:rPr>
          <w:sz w:val="24"/>
        </w:rPr>
        <w:t xml:space="preserve">, behauptet wurde, die Abteilungen M und E hätten die Rechtsauffassung vertreten, dass solche Zurückweisungen aus europarechtlichen Gründen „absolut ausgeschlossen“ seien – das ist das genaue Gegenteil von dem, was BMI-Beamte Seehofer später </w:t>
      </w:r>
      <w:r w:rsidR="00683441">
        <w:rPr>
          <w:sz w:val="24"/>
        </w:rPr>
        <w:t xml:space="preserve">angeblich </w:t>
      </w:r>
      <w:r>
        <w:rPr>
          <w:sz w:val="24"/>
        </w:rPr>
        <w:t>vermittelt haben sollen!</w:t>
      </w:r>
    </w:p>
    <w:p w14:paraId="1DBE6445" w14:textId="05BF5CD2" w:rsidR="00394FB1" w:rsidRDefault="00394FB1" w:rsidP="00E64EDD">
      <w:pPr>
        <w:rPr>
          <w:sz w:val="24"/>
        </w:rPr>
      </w:pPr>
      <w:r>
        <w:rPr>
          <w:sz w:val="24"/>
        </w:rPr>
        <w:t xml:space="preserve">Die Antwort auf die hierzu gestellte Frage 11 lautet: </w:t>
      </w:r>
      <w:r w:rsidRPr="00394FB1">
        <w:rPr>
          <w:b/>
          <w:sz w:val="24"/>
        </w:rPr>
        <w:t>„Welche konkreten Rechtsauffassungen einzelne Mitarbeiter der verschiedenen Abteilungen des Bundesministeriums des Innern in der internen Arbeitsbesprechung am 13. September 2015 vertreten haben, lässt sich nicht nachvollziehen“!</w:t>
      </w:r>
      <w:r>
        <w:rPr>
          <w:sz w:val="24"/>
        </w:rPr>
        <w:t xml:space="preserve"> Das heißt: Angeblich will die Bundesregierung nicht sagen können, wie eine der vermutlich wichtigsten politischen Fragen im Bundesinnenministerium seinerzeit diskutiert wurde! </w:t>
      </w:r>
      <w:r w:rsidR="00F63F9B">
        <w:rPr>
          <w:sz w:val="24"/>
        </w:rPr>
        <w:t>Das ist schlicht nicht glaubhaft.</w:t>
      </w:r>
    </w:p>
    <w:p w14:paraId="67CB8522" w14:textId="77777777" w:rsidR="00F63F9B" w:rsidRDefault="00F63F9B" w:rsidP="00E64EDD">
      <w:pPr>
        <w:rPr>
          <w:sz w:val="24"/>
        </w:rPr>
      </w:pPr>
    </w:p>
    <w:p w14:paraId="67204E77" w14:textId="77777777" w:rsidR="006710D5" w:rsidRDefault="006710D5" w:rsidP="00E64EDD">
      <w:pPr>
        <w:rPr>
          <w:sz w:val="24"/>
        </w:rPr>
      </w:pPr>
    </w:p>
    <w:p w14:paraId="7A473665" w14:textId="1B356A3C" w:rsidR="00CC61EF" w:rsidRPr="00E64EDD" w:rsidRDefault="00CC61EF" w:rsidP="00E64EDD">
      <w:pPr>
        <w:rPr>
          <w:sz w:val="24"/>
        </w:rPr>
      </w:pPr>
      <w:r w:rsidRPr="00E64EDD">
        <w:rPr>
          <w:sz w:val="24"/>
        </w:rPr>
        <w:t>Fragen 1</w:t>
      </w:r>
      <w:r w:rsidR="00F63F9B">
        <w:rPr>
          <w:sz w:val="24"/>
        </w:rPr>
        <w:t>3</w:t>
      </w:r>
      <w:r w:rsidRPr="00E64EDD">
        <w:rPr>
          <w:sz w:val="24"/>
        </w:rPr>
        <w:t>ff:</w:t>
      </w:r>
    </w:p>
    <w:p w14:paraId="34474BEF" w14:textId="45007C4F" w:rsidR="00F63F9B" w:rsidRDefault="00CC61EF" w:rsidP="005C0E9D">
      <w:pPr>
        <w:rPr>
          <w:sz w:val="24"/>
        </w:rPr>
      </w:pPr>
      <w:r w:rsidRPr="00E64EDD">
        <w:rPr>
          <w:sz w:val="24"/>
        </w:rPr>
        <w:t>Hier geht es um</w:t>
      </w:r>
      <w:r w:rsidR="00F63F9B">
        <w:rPr>
          <w:sz w:val="24"/>
        </w:rPr>
        <w:t xml:space="preserve"> die verzögerten</w:t>
      </w:r>
      <w:r w:rsidRPr="00E64EDD">
        <w:rPr>
          <w:sz w:val="24"/>
        </w:rPr>
        <w:t xml:space="preserve"> </w:t>
      </w:r>
      <w:r w:rsidRPr="004142AF">
        <w:rPr>
          <w:b/>
          <w:sz w:val="24"/>
        </w:rPr>
        <w:t>Familienzusammenführungen im Rahmen des Dublin-Systems von Griechenland nach Deutschland</w:t>
      </w:r>
      <w:r w:rsidR="00F63F9B">
        <w:rPr>
          <w:sz w:val="24"/>
        </w:rPr>
        <w:t xml:space="preserve"> (Zahlen für die Monate Januar bis April 2018 gibt es hier: BT-Drs. 19/3051, Fragen 10ff)</w:t>
      </w:r>
      <w:r w:rsidRPr="00E64EDD">
        <w:rPr>
          <w:sz w:val="24"/>
        </w:rPr>
        <w:t xml:space="preserve">. </w:t>
      </w:r>
    </w:p>
    <w:p w14:paraId="578B9A63" w14:textId="6A118F84" w:rsidR="00F63F9B" w:rsidRDefault="00F63F9B" w:rsidP="005C0E9D">
      <w:pPr>
        <w:rPr>
          <w:sz w:val="24"/>
        </w:rPr>
      </w:pPr>
      <w:r>
        <w:rPr>
          <w:sz w:val="24"/>
        </w:rPr>
        <w:t xml:space="preserve">Während die Zahl der Ersuchen aus Griechenland weiter zurückgeht (auf 112 im Juli), </w:t>
      </w:r>
      <w:r w:rsidRPr="00054E1E">
        <w:rPr>
          <w:b/>
          <w:sz w:val="24"/>
        </w:rPr>
        <w:t>nimmt die Zahl der Ablehnungen durch Deutschland weiter zu</w:t>
      </w:r>
      <w:r>
        <w:rPr>
          <w:sz w:val="24"/>
        </w:rPr>
        <w:t xml:space="preserve"> (auf 348 im Juli). Nach der Dublin-VO gibt es ein subjektives Recht auf eine zügige Familienzusammenführung von Asylsuchenden/Flüchtlingen</w:t>
      </w:r>
      <w:r w:rsidR="00683441">
        <w:rPr>
          <w:sz w:val="24"/>
        </w:rPr>
        <w:t xml:space="preserve">; </w:t>
      </w:r>
      <w:r w:rsidR="00D207C3">
        <w:rPr>
          <w:sz w:val="24"/>
        </w:rPr>
        <w:t>die Bundesregierung gibt vor, sich für „fortlaufend für die konsequente Einhaltung der Dublin-III-Verordnung“ einzusetzen (Frage 14) – sie lässt aber beispielsweise die Frage unbeantwortet, warum sie sich nicht dafür einsetzt, dass Familienangehörige mit vom BAMF anerkanntem Anspruch auf Zusammenführung eigeninitiativ nach Deutschland einreisen können (ebd.). Die Zahl der Überstellungen nach Deutschland hat mit 285 im Mai, 617 um Juni und 409 im Juli gegenüber dem ersten Quartal (in dem es insgesamt 561 Überstellungen gab) allerdings tatsächlich zugenommen.</w:t>
      </w:r>
    </w:p>
    <w:p w14:paraId="48F117C0" w14:textId="121BD3B4" w:rsidR="00D207C3" w:rsidRDefault="00D207C3" w:rsidP="005C0E9D">
      <w:pPr>
        <w:rPr>
          <w:sz w:val="24"/>
        </w:rPr>
      </w:pPr>
      <w:r>
        <w:rPr>
          <w:sz w:val="24"/>
        </w:rPr>
        <w:t>Die Bundesregierung verweist darauf, dass „</w:t>
      </w:r>
      <w:r w:rsidRPr="003E0A68">
        <w:rPr>
          <w:b/>
          <w:sz w:val="24"/>
        </w:rPr>
        <w:t>derzeit noch rund 1.800 Personen, für die Deutschland seine Zuständigkeit zur Durchführung des Asylverfahrenserklärt hat, auf ihre Überstellung nach Deutschland“ warten</w:t>
      </w:r>
      <w:r>
        <w:rPr>
          <w:sz w:val="24"/>
        </w:rPr>
        <w:t xml:space="preserve"> – im Februar seien dies noch 3.100 Personen gewesen (Frage 14). </w:t>
      </w:r>
    </w:p>
    <w:p w14:paraId="6684C926" w14:textId="79F0F956" w:rsidR="003E0A68" w:rsidRDefault="003E0A68" w:rsidP="005C0E9D">
      <w:pPr>
        <w:rPr>
          <w:sz w:val="24"/>
        </w:rPr>
      </w:pPr>
      <w:r>
        <w:rPr>
          <w:sz w:val="24"/>
        </w:rPr>
        <w:t xml:space="preserve">Das ist allerdings nur auf den ersten Blick eine positive Entwicklung, denn </w:t>
      </w:r>
      <w:r w:rsidRPr="00054E1E">
        <w:rPr>
          <w:b/>
          <w:sz w:val="24"/>
        </w:rPr>
        <w:t>von Januar bis Juli 2018 gab es etwa 1.260 Ablehnungen</w:t>
      </w:r>
      <w:r w:rsidRPr="00054E1E">
        <w:rPr>
          <w:rStyle w:val="Funotenzeichen"/>
          <w:b/>
          <w:sz w:val="24"/>
        </w:rPr>
        <w:footnoteReference w:id="1"/>
      </w:r>
      <w:r w:rsidR="00054E1E" w:rsidRPr="00054E1E">
        <w:rPr>
          <w:b/>
          <w:sz w:val="24"/>
        </w:rPr>
        <w:t xml:space="preserve"> von Familienzusammenführungen durch das</w:t>
      </w:r>
      <w:r w:rsidRPr="00054E1E">
        <w:rPr>
          <w:b/>
          <w:sz w:val="24"/>
        </w:rPr>
        <w:t xml:space="preserve"> BAMF</w:t>
      </w:r>
      <w:r>
        <w:rPr>
          <w:sz w:val="24"/>
        </w:rPr>
        <w:t xml:space="preserve"> </w:t>
      </w:r>
      <w:r w:rsidR="00054E1E">
        <w:rPr>
          <w:sz w:val="24"/>
        </w:rPr>
        <w:t xml:space="preserve">- wobei die Bundesregierung keine nachvollziehbare Erklärung dafür geben kann, warum ausgerechnet seit Anfang 2018 schlagartig vermehrt Dokumente oder Übersetzungen </w:t>
      </w:r>
      <w:r w:rsidR="00054E1E">
        <w:rPr>
          <w:sz w:val="24"/>
        </w:rPr>
        <w:lastRenderedPageBreak/>
        <w:t xml:space="preserve">fehlen sollen (siehe Antwort zu Frage 18) – dies sei aber der Grund für vermehrte Ablehnungen, die Bundesregierung verneint eine </w:t>
      </w:r>
      <w:r w:rsidR="00683441">
        <w:rPr>
          <w:sz w:val="24"/>
        </w:rPr>
        <w:t>schärfere</w:t>
      </w:r>
      <w:r w:rsidR="00054E1E">
        <w:rPr>
          <w:sz w:val="24"/>
        </w:rPr>
        <w:t xml:space="preserve"> Prüfpraxis</w:t>
      </w:r>
      <w:r w:rsidR="00683441">
        <w:rPr>
          <w:sz w:val="24"/>
        </w:rPr>
        <w:t xml:space="preserve"> des BAMF</w:t>
      </w:r>
      <w:r w:rsidR="00054E1E">
        <w:rPr>
          <w:sz w:val="24"/>
        </w:rPr>
        <w:t>, wie sie jedoch auch von Verbänden beobachtet wird</w:t>
      </w:r>
      <w:r w:rsidR="001D350E">
        <w:rPr>
          <w:sz w:val="24"/>
        </w:rPr>
        <w:t xml:space="preserve">, siehe hier: </w:t>
      </w:r>
      <w:hyperlink r:id="rId10" w:history="1">
        <w:r w:rsidR="001D350E" w:rsidRPr="00857216">
          <w:rPr>
            <w:rStyle w:val="Hyperlink"/>
            <w:sz w:val="24"/>
          </w:rPr>
          <w:t>https://www.diakonie.de/fileadmin/user_upload/02_2018_Familienzusammenfu__hrungen.pdf</w:t>
        </w:r>
      </w:hyperlink>
      <w:r w:rsidR="001D350E">
        <w:rPr>
          <w:sz w:val="24"/>
        </w:rPr>
        <w:t>, Seite 10)</w:t>
      </w:r>
      <w:r w:rsidR="00054E1E">
        <w:rPr>
          <w:sz w:val="24"/>
        </w:rPr>
        <w:t xml:space="preserve">.  </w:t>
      </w:r>
      <w:r w:rsidR="001D350E">
        <w:rPr>
          <w:sz w:val="24"/>
        </w:rPr>
        <w:br/>
      </w:r>
      <w:r w:rsidR="001D350E" w:rsidRPr="001D350E">
        <w:rPr>
          <w:b/>
          <w:sz w:val="24"/>
        </w:rPr>
        <w:t>Griechische Behörden haben wegen dieser Ablehnungen einer Familienzusammenführung durch das BAMF von Januar bis Juli 2018 bereits 907 „Remonstrationen“ eingelegt</w:t>
      </w:r>
      <w:r w:rsidR="001D350E">
        <w:rPr>
          <w:sz w:val="24"/>
        </w:rPr>
        <w:t xml:space="preserve"> – nach ganzen </w:t>
      </w:r>
      <w:r w:rsidR="001D350E" w:rsidRPr="001D350E">
        <w:rPr>
          <w:b/>
          <w:sz w:val="24"/>
        </w:rPr>
        <w:t>28 Remonstrationen im Jahr 2017</w:t>
      </w:r>
      <w:r w:rsidR="001D350E">
        <w:rPr>
          <w:sz w:val="24"/>
        </w:rPr>
        <w:t>! Die Bundesregierung erklärt dies – was Wunder! – mit einer „höheren Anzahl an Ablehnungen griechischer Ersuchen“…</w:t>
      </w:r>
    </w:p>
    <w:p w14:paraId="65ED1D40" w14:textId="77777777" w:rsidR="001D350E" w:rsidRDefault="001D350E" w:rsidP="005C0E9D">
      <w:pPr>
        <w:rPr>
          <w:sz w:val="24"/>
        </w:rPr>
      </w:pPr>
    </w:p>
    <w:p w14:paraId="5487FDFC" w14:textId="52C98D6C" w:rsidR="001D350E" w:rsidRDefault="001D350E" w:rsidP="005C0E9D">
      <w:pPr>
        <w:rPr>
          <w:sz w:val="24"/>
        </w:rPr>
      </w:pPr>
      <w:r>
        <w:rPr>
          <w:sz w:val="24"/>
        </w:rPr>
        <w:t>Bemerkenswert ist die (Nicht-) Antwort auf Frage 15:</w:t>
      </w:r>
      <w:r>
        <w:rPr>
          <w:sz w:val="24"/>
        </w:rPr>
        <w:br/>
        <w:t xml:space="preserve">Die </w:t>
      </w:r>
      <w:r w:rsidRPr="00FF66D9">
        <w:rPr>
          <w:b/>
          <w:sz w:val="24"/>
        </w:rPr>
        <w:t>Bundeskanzlerin</w:t>
      </w:r>
      <w:r>
        <w:rPr>
          <w:sz w:val="24"/>
        </w:rPr>
        <w:t xml:space="preserve"> hatte im Parlament erklärt, der Nachzug von </w:t>
      </w:r>
      <w:r w:rsidRPr="00FF66D9">
        <w:rPr>
          <w:b/>
          <w:sz w:val="24"/>
        </w:rPr>
        <w:t>Familienangehörigen aus Griechenland solle über das neu geschaffene humanitäre 1.000er Kontingent für den Nachzug zu subsidiär Schutzberechtigten</w:t>
      </w:r>
      <w:r>
        <w:rPr>
          <w:sz w:val="24"/>
        </w:rPr>
        <w:t xml:space="preserve"> erfolgen – das provozierte eine Nachfrage hierzu, denn auf die Familienzusammenführung nach der Dublin-Verordnung besteht ein Rechtsanspruch, während die Regelung für den Nachzug zu subsidiär Schutzberechtigten eine humanitäre, kontingentierte Ermessensregelung </w:t>
      </w:r>
      <w:r w:rsidR="00FF66D9">
        <w:rPr>
          <w:sz w:val="24"/>
        </w:rPr>
        <w:t>ist</w:t>
      </w:r>
      <w:r>
        <w:rPr>
          <w:sz w:val="24"/>
        </w:rPr>
        <w:t xml:space="preserve">, die auf die Dublin-Flüchtlinge </w:t>
      </w:r>
      <w:r w:rsidR="00FF66D9">
        <w:rPr>
          <w:sz w:val="24"/>
        </w:rPr>
        <w:t xml:space="preserve">gar </w:t>
      </w:r>
      <w:r>
        <w:rPr>
          <w:sz w:val="24"/>
        </w:rPr>
        <w:t xml:space="preserve">nicht anwendbar </w:t>
      </w:r>
      <w:r w:rsidR="00FF66D9">
        <w:rPr>
          <w:sz w:val="24"/>
        </w:rPr>
        <w:t>ist</w:t>
      </w:r>
      <w:r>
        <w:rPr>
          <w:sz w:val="24"/>
        </w:rPr>
        <w:t xml:space="preserve">. </w:t>
      </w:r>
    </w:p>
    <w:p w14:paraId="18AC6099" w14:textId="19433830" w:rsidR="001D350E" w:rsidRDefault="001D350E" w:rsidP="005C0E9D">
      <w:pPr>
        <w:rPr>
          <w:sz w:val="24"/>
        </w:rPr>
      </w:pPr>
      <w:r>
        <w:rPr>
          <w:sz w:val="24"/>
        </w:rPr>
        <w:t>Die Bundesregierung antwortet daraufhin zutreffend, dass dieses 1.000er Kontingent nur für den Nachzug zu subsidiär Schutzberechtigten gelte; diese Regelung und die Familienzusammenführung nach der Dublin-III-Verordnung basierte</w:t>
      </w:r>
      <w:r w:rsidR="00FF66D9">
        <w:rPr>
          <w:sz w:val="24"/>
        </w:rPr>
        <w:t>n</w:t>
      </w:r>
      <w:r>
        <w:rPr>
          <w:sz w:val="24"/>
        </w:rPr>
        <w:t xml:space="preserve"> auf „unterschiedlichen rechtlichen und tatsächlichen Verfahren“ (wird ausgeführt). </w:t>
      </w:r>
    </w:p>
    <w:p w14:paraId="4FAE09C5" w14:textId="066C0336" w:rsidR="001D350E" w:rsidRDefault="001D350E" w:rsidP="005C0E9D">
      <w:pPr>
        <w:rPr>
          <w:sz w:val="24"/>
        </w:rPr>
      </w:pPr>
      <w:r>
        <w:rPr>
          <w:sz w:val="24"/>
        </w:rPr>
        <w:t>Die</w:t>
      </w:r>
      <w:r w:rsidR="00FF66D9">
        <w:rPr>
          <w:sz w:val="24"/>
        </w:rPr>
        <w:t>se</w:t>
      </w:r>
      <w:r>
        <w:rPr>
          <w:sz w:val="24"/>
        </w:rPr>
        <w:t xml:space="preserve"> Antwort, mit der die Frage mehr oder weniger bestätigt wird, lässt nur den Schluss zu, dass </w:t>
      </w:r>
      <w:r w:rsidRPr="00FF66D9">
        <w:rPr>
          <w:b/>
          <w:sz w:val="24"/>
        </w:rPr>
        <w:t xml:space="preserve">Merkel offenkundig die unterschiedlichen rechtlichen Grundlagen und Sachverhalte nicht im Blick und beide Themen </w:t>
      </w:r>
      <w:r w:rsidR="00FF66D9" w:rsidRPr="00FF66D9">
        <w:rPr>
          <w:b/>
          <w:sz w:val="24"/>
        </w:rPr>
        <w:t xml:space="preserve">in </w:t>
      </w:r>
      <w:r w:rsidRPr="00FF66D9">
        <w:rPr>
          <w:b/>
          <w:sz w:val="24"/>
        </w:rPr>
        <w:t>unzulässiger Weise miteinander vermengt hatte</w:t>
      </w:r>
      <w:r>
        <w:rPr>
          <w:sz w:val="24"/>
        </w:rPr>
        <w:t>.</w:t>
      </w:r>
    </w:p>
    <w:p w14:paraId="21AEABC6" w14:textId="77777777" w:rsidR="00F63F9B" w:rsidRDefault="00F63F9B" w:rsidP="005C0E9D">
      <w:pPr>
        <w:rPr>
          <w:sz w:val="24"/>
        </w:rPr>
      </w:pPr>
    </w:p>
    <w:p w14:paraId="5B754BD8" w14:textId="77777777" w:rsidR="003F0E48" w:rsidRDefault="003F0E48" w:rsidP="003F0E48">
      <w:pPr>
        <w:rPr>
          <w:sz w:val="24"/>
        </w:rPr>
      </w:pPr>
    </w:p>
    <w:p w14:paraId="3DEB7E34" w14:textId="77777777" w:rsidR="003F0E48" w:rsidRDefault="003F0E48" w:rsidP="003F0E48">
      <w:pPr>
        <w:rPr>
          <w:sz w:val="24"/>
        </w:rPr>
      </w:pPr>
      <w:r>
        <w:rPr>
          <w:sz w:val="24"/>
        </w:rPr>
        <w:t xml:space="preserve">Frage 4: Nach </w:t>
      </w:r>
      <w:r w:rsidRPr="002155D8">
        <w:rPr>
          <w:b/>
          <w:sz w:val="24"/>
          <w:u w:val="single"/>
        </w:rPr>
        <w:t>Ungarn</w:t>
      </w:r>
      <w:r>
        <w:rPr>
          <w:sz w:val="24"/>
        </w:rPr>
        <w:t xml:space="preserve"> gibt es unverändert </w:t>
      </w:r>
      <w:r w:rsidRPr="002155D8">
        <w:rPr>
          <w:b/>
          <w:sz w:val="24"/>
        </w:rPr>
        <w:t>keine Überstellungen</w:t>
      </w:r>
      <w:r>
        <w:rPr>
          <w:sz w:val="24"/>
        </w:rPr>
        <w:t xml:space="preserve"> (seit Einleitung eines Vertragsverletzungsverfahrens durch die EU-Kommission im Mai 2017, vgl. Frage 20). </w:t>
      </w:r>
    </w:p>
    <w:p w14:paraId="0E55577A" w14:textId="77777777" w:rsidR="003F0E48" w:rsidRDefault="003F0E48" w:rsidP="005C0E9D">
      <w:pPr>
        <w:rPr>
          <w:sz w:val="24"/>
        </w:rPr>
      </w:pPr>
    </w:p>
    <w:p w14:paraId="509558F6" w14:textId="6A65786F" w:rsidR="00D207C3" w:rsidRDefault="00FF66D9" w:rsidP="005C0E9D">
      <w:pPr>
        <w:rPr>
          <w:sz w:val="24"/>
        </w:rPr>
      </w:pPr>
      <w:r>
        <w:rPr>
          <w:sz w:val="24"/>
        </w:rPr>
        <w:t xml:space="preserve">Frage 20: Ungarn hat unverändert keine individuelle Zusicherung erteilt, wonach rücküberstellte Schutzsuchende EU-rechtskonform behandelt würden – entsprechend hat es </w:t>
      </w:r>
      <w:r w:rsidRPr="00FF66D9">
        <w:rPr>
          <w:b/>
          <w:sz w:val="24"/>
        </w:rPr>
        <w:t xml:space="preserve">seit Mai 2017 </w:t>
      </w:r>
      <w:r w:rsidR="008501FB" w:rsidRPr="00FF66D9">
        <w:rPr>
          <w:b/>
          <w:sz w:val="24"/>
        </w:rPr>
        <w:t xml:space="preserve">bis heute </w:t>
      </w:r>
      <w:r w:rsidRPr="00FF66D9">
        <w:rPr>
          <w:b/>
          <w:sz w:val="24"/>
        </w:rPr>
        <w:t>keine Überstellung mehr nach Ungarn</w:t>
      </w:r>
      <w:r>
        <w:rPr>
          <w:sz w:val="24"/>
        </w:rPr>
        <w:t xml:space="preserve"> gegeben, weil erhebliche Zweifel an der Rechtskonformität des dortigen Asylrechts und -systems bestehen.</w:t>
      </w:r>
      <w:r>
        <w:rPr>
          <w:sz w:val="24"/>
        </w:rPr>
        <w:br/>
        <w:t>Übernahmeersuchen werden nur noch für untergetauchte Personen gestellt, um für den Fall der Weiterwanderung in einen dritten Mitgliedstaat eine Zuständigkeit Deutschlands zu vermeiden.</w:t>
      </w:r>
      <w:r w:rsidR="008501FB">
        <w:rPr>
          <w:sz w:val="24"/>
        </w:rPr>
        <w:t xml:space="preserve"> </w:t>
      </w:r>
    </w:p>
    <w:p w14:paraId="063E4848" w14:textId="77777777" w:rsidR="00FF66D9" w:rsidRDefault="00FF66D9" w:rsidP="005C0E9D">
      <w:pPr>
        <w:rPr>
          <w:sz w:val="24"/>
        </w:rPr>
      </w:pPr>
    </w:p>
    <w:p w14:paraId="0A3E5E89" w14:textId="51CA34C2" w:rsidR="00FF66D9" w:rsidRDefault="00FF66D9" w:rsidP="005C0E9D">
      <w:pPr>
        <w:rPr>
          <w:sz w:val="24"/>
        </w:rPr>
      </w:pPr>
      <w:r>
        <w:rPr>
          <w:sz w:val="24"/>
        </w:rPr>
        <w:t xml:space="preserve">Frage 22: Auch eineinhalb Jahre, nachdem eine </w:t>
      </w:r>
      <w:r w:rsidRPr="00E77415">
        <w:rPr>
          <w:b/>
          <w:sz w:val="24"/>
        </w:rPr>
        <w:t>Bund-Länder-AG zu Dublin-Verfahren</w:t>
      </w:r>
      <w:r>
        <w:rPr>
          <w:sz w:val="24"/>
        </w:rPr>
        <w:t xml:space="preserve"> eingerichtet wurde, vermag die Bundesregierung immer noch nichts über etwaige Kernaussagen </w:t>
      </w:r>
      <w:r w:rsidR="008501FB">
        <w:rPr>
          <w:sz w:val="24"/>
        </w:rPr>
        <w:t xml:space="preserve">und </w:t>
      </w:r>
      <w:r w:rsidRPr="00E77415">
        <w:rPr>
          <w:b/>
          <w:sz w:val="24"/>
        </w:rPr>
        <w:t>Handlungsempfehlungen</w:t>
      </w:r>
      <w:r>
        <w:rPr>
          <w:sz w:val="24"/>
        </w:rPr>
        <w:t xml:space="preserve"> dieser Arbeitsgruppe zu sagen! Diese befänden sich „</w:t>
      </w:r>
      <w:r w:rsidRPr="00E77415">
        <w:rPr>
          <w:b/>
          <w:sz w:val="24"/>
        </w:rPr>
        <w:t>noch in der „Abstimmung</w:t>
      </w:r>
      <w:r>
        <w:rPr>
          <w:sz w:val="24"/>
        </w:rPr>
        <w:t xml:space="preserve"> innerhalb der Bundesregierung und zwischen den Bundesländern“. Die Abstimmung habe „sich aufgrund der im Koalitionsvertrag vereinbarten Schaffung sog. AnkER-Einrichtungen und den Ergebnissen des Koalitionsausschusses vom 5. Juli 2018 verlängert“… </w:t>
      </w:r>
    </w:p>
    <w:sectPr w:rsidR="00FF66D9" w:rsidSect="002603D4">
      <w:footerReference w:type="even" r:id="rId11"/>
      <w:footerReference w:type="default" r:id="rId12"/>
      <w:pgSz w:w="11906" w:h="16838" w:code="9"/>
      <w:pgMar w:top="1191" w:right="1418" w:bottom="1418" w:left="1134" w:header="680" w:footer="5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78717" w14:textId="77777777" w:rsidR="00D21BDE" w:rsidRDefault="00D21BDE">
      <w:r>
        <w:separator/>
      </w:r>
    </w:p>
  </w:endnote>
  <w:endnote w:type="continuationSeparator" w:id="0">
    <w:p w14:paraId="275BBF54" w14:textId="77777777" w:rsidR="00D21BDE" w:rsidRDefault="00D21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poS">
    <w:altName w:val="Times New Roman"/>
    <w:charset w:val="00"/>
    <w:family w:val="auto"/>
    <w:pitch w:val="variable"/>
    <w:sig w:usb0="00000001" w:usb1="100078FB" w:usb2="00000000" w:usb3="00000000" w:csb0="00000093" w:csb1="00000000"/>
  </w:font>
  <w:font w:name="CorpoSExtBol">
    <w:altName w:val="Times New Roman"/>
    <w:charset w:val="00"/>
    <w:family w:val="auto"/>
    <w:pitch w:val="variable"/>
    <w:sig w:usb0="00000001" w:usb1="1000204A" w:usb2="00000000" w:usb3="00000000" w:csb0="0000001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9E19F" w14:textId="77777777" w:rsidR="00034470" w:rsidRDefault="00034470" w:rsidP="00AE36F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8117C5C" w14:textId="77777777" w:rsidR="00034470" w:rsidRDefault="00034470" w:rsidP="002603D4">
    <w:pPr>
      <w:pStyle w:val="Fuzeile"/>
      <w:ind w:right="360"/>
    </w:pPr>
  </w:p>
  <w:p w14:paraId="41DCA8F8" w14:textId="77777777" w:rsidR="00034470" w:rsidRDefault="00034470" w:rsidP="00FE7DD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0E0AA" w14:textId="77777777" w:rsidR="00E6542B" w:rsidRDefault="00E6542B">
    <w:pPr>
      <w:pStyle w:val="Fuzeile"/>
    </w:pPr>
    <w:r>
      <w:fldChar w:fldCharType="begin"/>
    </w:r>
    <w:r>
      <w:instrText>PAGE   \* MERGEFORMAT</w:instrText>
    </w:r>
    <w:r>
      <w:fldChar w:fldCharType="separate"/>
    </w:r>
    <w:r w:rsidR="00DB47B9">
      <w:rPr>
        <w:noProof/>
      </w:rPr>
      <w:t>2</w:t>
    </w:r>
    <w:r>
      <w:fldChar w:fldCharType="end"/>
    </w:r>
  </w:p>
  <w:p w14:paraId="0B97AEE1" w14:textId="77777777" w:rsidR="00034470" w:rsidRDefault="00034470" w:rsidP="00FE7DD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C3597" w14:textId="77777777" w:rsidR="00D21BDE" w:rsidRDefault="00D21BDE">
      <w:r>
        <w:separator/>
      </w:r>
    </w:p>
  </w:footnote>
  <w:footnote w:type="continuationSeparator" w:id="0">
    <w:p w14:paraId="5FBBCCB0" w14:textId="77777777" w:rsidR="00D21BDE" w:rsidRDefault="00D21BDE">
      <w:r>
        <w:continuationSeparator/>
      </w:r>
    </w:p>
  </w:footnote>
  <w:footnote w:id="1">
    <w:p w14:paraId="6C74D007" w14:textId="7EFD60CD" w:rsidR="003E0A68" w:rsidRDefault="003E0A68">
      <w:pPr>
        <w:pStyle w:val="Funotentext"/>
      </w:pPr>
      <w:r>
        <w:rPr>
          <w:rStyle w:val="Funotenzeichen"/>
        </w:rPr>
        <w:footnoteRef/>
      </w:r>
      <w:r>
        <w:t xml:space="preserve"> Es gibt </w:t>
      </w:r>
      <w:r w:rsidR="00054E1E">
        <w:t>widersprüchliche</w:t>
      </w:r>
      <w:r>
        <w:t xml:space="preserve"> Angaben </w:t>
      </w:r>
      <w:r w:rsidR="00054E1E">
        <w:t xml:space="preserve">der Bundesregierung </w:t>
      </w:r>
      <w:r>
        <w:t xml:space="preserve">zum Monat </w:t>
      </w:r>
      <w:r w:rsidR="00054E1E">
        <w:t>Mai</w:t>
      </w:r>
      <w:r>
        <w:t xml:space="preserve"> 2018, </w:t>
      </w:r>
      <w:r w:rsidR="00054E1E">
        <w:t>zu Frage 16 werden 117 Ablehnungen genannt, auf BT-Drs. 19/3051 zu Frage 13 wurden für Mai 2018 hingegen 230 Ablehnungen genannt; für Januar bis April 2018 wurden hier 608 Ablehnungen genannt (+ 652 für Mai-Juli=1.260 Ablehnungen).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9A1"/>
    <w:multiLevelType w:val="multilevel"/>
    <w:tmpl w:val="9AE4B928"/>
    <w:lvl w:ilvl="0">
      <w:start w:val="1"/>
      <w:numFmt w:val="upperRoman"/>
      <w:lvlText w:val="%1."/>
      <w:lvlJc w:val="right"/>
      <w:pPr>
        <w:tabs>
          <w:tab w:val="num" w:pos="720"/>
        </w:tabs>
        <w:ind w:left="72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1D6712A"/>
    <w:multiLevelType w:val="hybridMultilevel"/>
    <w:tmpl w:val="004A58C6"/>
    <w:lvl w:ilvl="0" w:tplc="84B0D6C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AB8414F"/>
    <w:multiLevelType w:val="hybridMultilevel"/>
    <w:tmpl w:val="9AE4B928"/>
    <w:lvl w:ilvl="0" w:tplc="CA34A08C">
      <w:start w:val="1"/>
      <w:numFmt w:val="upperRoman"/>
      <w:pStyle w:val="StandardTitel"/>
      <w:lvlText w:val="%1."/>
      <w:lvlJc w:val="right"/>
      <w:pPr>
        <w:tabs>
          <w:tab w:val="num" w:pos="720"/>
        </w:tabs>
        <w:ind w:left="720" w:hanging="18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D0F07F9"/>
    <w:multiLevelType w:val="hybridMultilevel"/>
    <w:tmpl w:val="01FEC1E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5B0643"/>
    <w:multiLevelType w:val="hybridMultilevel"/>
    <w:tmpl w:val="66123414"/>
    <w:lvl w:ilvl="0" w:tplc="59660446">
      <w:start w:val="1"/>
      <w:numFmt w:val="bullet"/>
      <w:lvlText w:val="-"/>
      <w:lvlJc w:val="left"/>
      <w:pPr>
        <w:tabs>
          <w:tab w:val="num" w:pos="720"/>
        </w:tabs>
        <w:ind w:left="720" w:hanging="360"/>
      </w:pPr>
      <w:rPr>
        <w:rFonts w:ascii="CorpoS" w:eastAsia="Times New Roman" w:hAnsi="CorpoS"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0116D"/>
    <w:multiLevelType w:val="hybridMultilevel"/>
    <w:tmpl w:val="F692C0CE"/>
    <w:lvl w:ilvl="0" w:tplc="84B0D6C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8A04F74"/>
    <w:multiLevelType w:val="hybridMultilevel"/>
    <w:tmpl w:val="E3A86468"/>
    <w:lvl w:ilvl="0" w:tplc="2DB6FBE4">
      <w:start w:val="45"/>
      <w:numFmt w:val="bullet"/>
      <w:lvlText w:val="-"/>
      <w:lvlJc w:val="left"/>
      <w:pPr>
        <w:ind w:left="1080" w:hanging="360"/>
      </w:pPr>
      <w:rPr>
        <w:rFonts w:ascii="CorpoS" w:eastAsia="Times New Roman" w:hAnsi="CorpoS" w:cs="Times New Roman" w:hint="default"/>
        <w:b/>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661734B"/>
    <w:multiLevelType w:val="hybridMultilevel"/>
    <w:tmpl w:val="C7C679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E283449"/>
    <w:multiLevelType w:val="multilevel"/>
    <w:tmpl w:val="46A238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CA0B14"/>
    <w:multiLevelType w:val="multilevel"/>
    <w:tmpl w:val="44A26C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33C22D7"/>
    <w:multiLevelType w:val="multilevel"/>
    <w:tmpl w:val="4AD66A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76241A3"/>
    <w:multiLevelType w:val="multilevel"/>
    <w:tmpl w:val="2D64B498"/>
    <w:numStyleLink w:val="Aufzhlung"/>
  </w:abstractNum>
  <w:abstractNum w:abstractNumId="12" w15:restartNumberingAfterBreak="0">
    <w:nsid w:val="48D971AD"/>
    <w:multiLevelType w:val="hybridMultilevel"/>
    <w:tmpl w:val="27BE1B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CAF1ECF"/>
    <w:multiLevelType w:val="hybridMultilevel"/>
    <w:tmpl w:val="2782F44E"/>
    <w:lvl w:ilvl="0" w:tplc="04070001">
      <w:start w:val="1"/>
      <w:numFmt w:val="bullet"/>
      <w:lvlText w:val=""/>
      <w:lvlJc w:val="left"/>
      <w:pPr>
        <w:tabs>
          <w:tab w:val="num" w:pos="765"/>
        </w:tabs>
        <w:ind w:left="765" w:hanging="360"/>
      </w:pPr>
      <w:rPr>
        <w:rFonts w:ascii="Symbol" w:hAnsi="Symbol" w:hint="default"/>
      </w:rPr>
    </w:lvl>
    <w:lvl w:ilvl="1" w:tplc="04070003" w:tentative="1">
      <w:start w:val="1"/>
      <w:numFmt w:val="bullet"/>
      <w:lvlText w:val="o"/>
      <w:lvlJc w:val="left"/>
      <w:pPr>
        <w:tabs>
          <w:tab w:val="num" w:pos="1485"/>
        </w:tabs>
        <w:ind w:left="1485" w:hanging="360"/>
      </w:pPr>
      <w:rPr>
        <w:rFonts w:ascii="Courier New" w:hAnsi="Courier New" w:cs="Courier New" w:hint="default"/>
      </w:rPr>
    </w:lvl>
    <w:lvl w:ilvl="2" w:tplc="04070005" w:tentative="1">
      <w:start w:val="1"/>
      <w:numFmt w:val="bullet"/>
      <w:lvlText w:val=""/>
      <w:lvlJc w:val="left"/>
      <w:pPr>
        <w:tabs>
          <w:tab w:val="num" w:pos="2205"/>
        </w:tabs>
        <w:ind w:left="2205" w:hanging="360"/>
      </w:pPr>
      <w:rPr>
        <w:rFonts w:ascii="Wingdings" w:hAnsi="Wingdings" w:hint="default"/>
      </w:rPr>
    </w:lvl>
    <w:lvl w:ilvl="3" w:tplc="04070001" w:tentative="1">
      <w:start w:val="1"/>
      <w:numFmt w:val="bullet"/>
      <w:lvlText w:val=""/>
      <w:lvlJc w:val="left"/>
      <w:pPr>
        <w:tabs>
          <w:tab w:val="num" w:pos="2925"/>
        </w:tabs>
        <w:ind w:left="2925" w:hanging="360"/>
      </w:pPr>
      <w:rPr>
        <w:rFonts w:ascii="Symbol" w:hAnsi="Symbol" w:hint="default"/>
      </w:rPr>
    </w:lvl>
    <w:lvl w:ilvl="4" w:tplc="04070003" w:tentative="1">
      <w:start w:val="1"/>
      <w:numFmt w:val="bullet"/>
      <w:lvlText w:val="o"/>
      <w:lvlJc w:val="left"/>
      <w:pPr>
        <w:tabs>
          <w:tab w:val="num" w:pos="3645"/>
        </w:tabs>
        <w:ind w:left="3645" w:hanging="360"/>
      </w:pPr>
      <w:rPr>
        <w:rFonts w:ascii="Courier New" w:hAnsi="Courier New" w:cs="Courier New" w:hint="default"/>
      </w:rPr>
    </w:lvl>
    <w:lvl w:ilvl="5" w:tplc="04070005" w:tentative="1">
      <w:start w:val="1"/>
      <w:numFmt w:val="bullet"/>
      <w:lvlText w:val=""/>
      <w:lvlJc w:val="left"/>
      <w:pPr>
        <w:tabs>
          <w:tab w:val="num" w:pos="4365"/>
        </w:tabs>
        <w:ind w:left="4365" w:hanging="360"/>
      </w:pPr>
      <w:rPr>
        <w:rFonts w:ascii="Wingdings" w:hAnsi="Wingdings" w:hint="default"/>
      </w:rPr>
    </w:lvl>
    <w:lvl w:ilvl="6" w:tplc="04070001" w:tentative="1">
      <w:start w:val="1"/>
      <w:numFmt w:val="bullet"/>
      <w:lvlText w:val=""/>
      <w:lvlJc w:val="left"/>
      <w:pPr>
        <w:tabs>
          <w:tab w:val="num" w:pos="5085"/>
        </w:tabs>
        <w:ind w:left="5085" w:hanging="360"/>
      </w:pPr>
      <w:rPr>
        <w:rFonts w:ascii="Symbol" w:hAnsi="Symbol" w:hint="default"/>
      </w:rPr>
    </w:lvl>
    <w:lvl w:ilvl="7" w:tplc="04070003" w:tentative="1">
      <w:start w:val="1"/>
      <w:numFmt w:val="bullet"/>
      <w:lvlText w:val="o"/>
      <w:lvlJc w:val="left"/>
      <w:pPr>
        <w:tabs>
          <w:tab w:val="num" w:pos="5805"/>
        </w:tabs>
        <w:ind w:left="5805" w:hanging="360"/>
      </w:pPr>
      <w:rPr>
        <w:rFonts w:ascii="Courier New" w:hAnsi="Courier New" w:cs="Courier New" w:hint="default"/>
      </w:rPr>
    </w:lvl>
    <w:lvl w:ilvl="8" w:tplc="04070005" w:tentative="1">
      <w:start w:val="1"/>
      <w:numFmt w:val="bullet"/>
      <w:lvlText w:val=""/>
      <w:lvlJc w:val="left"/>
      <w:pPr>
        <w:tabs>
          <w:tab w:val="num" w:pos="6525"/>
        </w:tabs>
        <w:ind w:left="6525" w:hanging="360"/>
      </w:pPr>
      <w:rPr>
        <w:rFonts w:ascii="Wingdings" w:hAnsi="Wingdings" w:hint="default"/>
      </w:rPr>
    </w:lvl>
  </w:abstractNum>
  <w:abstractNum w:abstractNumId="14" w15:restartNumberingAfterBreak="0">
    <w:nsid w:val="4ECC40CA"/>
    <w:multiLevelType w:val="multilevel"/>
    <w:tmpl w:val="4AD66A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58D47CF"/>
    <w:multiLevelType w:val="multilevel"/>
    <w:tmpl w:val="2D64B498"/>
    <w:styleLink w:val="Aufzhlung"/>
    <w:lvl w:ilvl="0">
      <w:start w:val="1"/>
      <w:numFmt w:val="bullet"/>
      <w:lvlText w:val="–"/>
      <w:lvlJc w:val="left"/>
      <w:pPr>
        <w:tabs>
          <w:tab w:val="num" w:pos="227"/>
        </w:tabs>
        <w:ind w:left="227" w:hanging="227"/>
      </w:pPr>
      <w:rPr>
        <w:rFonts w:ascii="CorpoS" w:hAnsi="CorpoS" w:hint="default"/>
        <w:b w:val="0"/>
        <w:i w:val="0"/>
        <w:sz w:val="22"/>
        <w:szCs w:val="22"/>
      </w:rPr>
    </w:lvl>
    <w:lvl w:ilvl="1">
      <w:numFmt w:val="bullet"/>
      <w:lvlText w:val="-"/>
      <w:lvlJc w:val="left"/>
      <w:pPr>
        <w:tabs>
          <w:tab w:val="num" w:pos="1440"/>
        </w:tabs>
        <w:ind w:left="1440" w:hanging="360"/>
      </w:pPr>
      <w:rPr>
        <w:rFonts w:ascii="CorpoS" w:hAnsi="CorpoS"/>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362C72"/>
    <w:multiLevelType w:val="multilevel"/>
    <w:tmpl w:val="9AE4B928"/>
    <w:lvl w:ilvl="0">
      <w:start w:val="1"/>
      <w:numFmt w:val="upperRoman"/>
      <w:lvlText w:val="%1."/>
      <w:lvlJc w:val="right"/>
      <w:pPr>
        <w:tabs>
          <w:tab w:val="num" w:pos="720"/>
        </w:tabs>
        <w:ind w:left="72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A51172B"/>
    <w:multiLevelType w:val="hybridMultilevel"/>
    <w:tmpl w:val="2D64B498"/>
    <w:lvl w:ilvl="0" w:tplc="350693C0">
      <w:start w:val="1"/>
      <w:numFmt w:val="bullet"/>
      <w:lvlText w:val="–"/>
      <w:lvlJc w:val="left"/>
      <w:pPr>
        <w:tabs>
          <w:tab w:val="num" w:pos="227"/>
        </w:tabs>
        <w:ind w:left="227" w:hanging="227"/>
      </w:pPr>
      <w:rPr>
        <w:rFonts w:ascii="CorpoS" w:hAnsi="CorpoS" w:hint="default"/>
        <w:b w:val="0"/>
        <w:i w:val="0"/>
        <w:sz w:val="22"/>
        <w:szCs w:val="22"/>
      </w:rPr>
    </w:lvl>
    <w:lvl w:ilvl="1" w:tplc="B92685D4">
      <w:numFmt w:val="bullet"/>
      <w:lvlText w:val="-"/>
      <w:lvlJc w:val="left"/>
      <w:pPr>
        <w:tabs>
          <w:tab w:val="num" w:pos="1440"/>
        </w:tabs>
        <w:ind w:left="1440" w:hanging="360"/>
      </w:pPr>
      <w:rPr>
        <w:rFonts w:ascii="CorpoS" w:eastAsia="Times New Roman" w:hAnsi="CorpoS"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8123F1"/>
    <w:multiLevelType w:val="multilevel"/>
    <w:tmpl w:val="2D64B498"/>
    <w:numStyleLink w:val="Aufzhlung"/>
  </w:abstractNum>
  <w:abstractNum w:abstractNumId="19" w15:restartNumberingAfterBreak="0">
    <w:nsid w:val="5D4E4BB7"/>
    <w:multiLevelType w:val="multilevel"/>
    <w:tmpl w:val="7C900168"/>
    <w:lvl w:ilvl="0">
      <w:start w:val="1"/>
      <w:numFmt w:val="upperRoman"/>
      <w:lvlText w:val="%1."/>
      <w:lvlJc w:val="right"/>
      <w:pPr>
        <w:tabs>
          <w:tab w:val="num" w:pos="720"/>
        </w:tabs>
        <w:ind w:left="72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E133CD6"/>
    <w:multiLevelType w:val="hybridMultilevel"/>
    <w:tmpl w:val="4AD66A6E"/>
    <w:lvl w:ilvl="0" w:tplc="7144B720">
      <w:start w:val="1"/>
      <w:numFmt w:val="decimal"/>
      <w:pStyle w:val="berschrift1"/>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799F1AB9"/>
    <w:multiLevelType w:val="multilevel"/>
    <w:tmpl w:val="2D64B498"/>
    <w:numStyleLink w:val="Aufzhlung"/>
  </w:abstractNum>
  <w:num w:numId="1">
    <w:abstractNumId w:val="17"/>
  </w:num>
  <w:num w:numId="2">
    <w:abstractNumId w:val="2"/>
  </w:num>
  <w:num w:numId="3">
    <w:abstractNumId w:val="19"/>
  </w:num>
  <w:num w:numId="4">
    <w:abstractNumId w:val="20"/>
  </w:num>
  <w:num w:numId="5">
    <w:abstractNumId w:val="16"/>
  </w:num>
  <w:num w:numId="6">
    <w:abstractNumId w:val="0"/>
  </w:num>
  <w:num w:numId="7">
    <w:abstractNumId w:val="10"/>
  </w:num>
  <w:num w:numId="8">
    <w:abstractNumId w:val="14"/>
  </w:num>
  <w:num w:numId="9">
    <w:abstractNumId w:val="15"/>
  </w:num>
  <w:num w:numId="10">
    <w:abstractNumId w:val="11"/>
  </w:num>
  <w:num w:numId="11">
    <w:abstractNumId w:val="18"/>
  </w:num>
  <w:num w:numId="12">
    <w:abstractNumId w:val="21"/>
  </w:num>
  <w:num w:numId="13">
    <w:abstractNumId w:val="13"/>
  </w:num>
  <w:num w:numId="14">
    <w:abstractNumId w:val="3"/>
  </w:num>
  <w:num w:numId="15">
    <w:abstractNumId w:val="4"/>
  </w:num>
  <w:num w:numId="16">
    <w:abstractNumId w:val="1"/>
  </w:num>
  <w:num w:numId="17">
    <w:abstractNumId w:val="5"/>
  </w:num>
  <w:num w:numId="18">
    <w:abstractNumId w:val="12"/>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characterSpacingControl w:val="doNotCompress"/>
  <w:hdrShapeDefaults>
    <o:shapedefaults v:ext="edit" spidmax="747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D0"/>
    <w:rsid w:val="0000605D"/>
    <w:rsid w:val="00007840"/>
    <w:rsid w:val="000117CD"/>
    <w:rsid w:val="00033E46"/>
    <w:rsid w:val="00034470"/>
    <w:rsid w:val="00043951"/>
    <w:rsid w:val="000463F4"/>
    <w:rsid w:val="00047C09"/>
    <w:rsid w:val="000500ED"/>
    <w:rsid w:val="00050DAE"/>
    <w:rsid w:val="00052F0A"/>
    <w:rsid w:val="00054E1E"/>
    <w:rsid w:val="00060E4B"/>
    <w:rsid w:val="00061956"/>
    <w:rsid w:val="00071651"/>
    <w:rsid w:val="00072390"/>
    <w:rsid w:val="00075BC7"/>
    <w:rsid w:val="000775DA"/>
    <w:rsid w:val="000775F0"/>
    <w:rsid w:val="0008146B"/>
    <w:rsid w:val="0008351B"/>
    <w:rsid w:val="0009389C"/>
    <w:rsid w:val="000946F3"/>
    <w:rsid w:val="00096A1F"/>
    <w:rsid w:val="000A25A6"/>
    <w:rsid w:val="000A34D0"/>
    <w:rsid w:val="000A52E9"/>
    <w:rsid w:val="000A5AC9"/>
    <w:rsid w:val="000A5FD2"/>
    <w:rsid w:val="000B1316"/>
    <w:rsid w:val="000B1B19"/>
    <w:rsid w:val="000B4B94"/>
    <w:rsid w:val="000B7B33"/>
    <w:rsid w:val="000C0236"/>
    <w:rsid w:val="000C41B4"/>
    <w:rsid w:val="000C6200"/>
    <w:rsid w:val="000D3572"/>
    <w:rsid w:val="000D7C08"/>
    <w:rsid w:val="000E0BF1"/>
    <w:rsid w:val="000E4909"/>
    <w:rsid w:val="000E7699"/>
    <w:rsid w:val="000F337F"/>
    <w:rsid w:val="000F6542"/>
    <w:rsid w:val="000F7792"/>
    <w:rsid w:val="00100C7C"/>
    <w:rsid w:val="0010353B"/>
    <w:rsid w:val="00104D39"/>
    <w:rsid w:val="001170AF"/>
    <w:rsid w:val="001300A5"/>
    <w:rsid w:val="001306CD"/>
    <w:rsid w:val="00135DAD"/>
    <w:rsid w:val="0014206B"/>
    <w:rsid w:val="00146352"/>
    <w:rsid w:val="0015251F"/>
    <w:rsid w:val="0016218E"/>
    <w:rsid w:val="00163837"/>
    <w:rsid w:val="00166C89"/>
    <w:rsid w:val="00174246"/>
    <w:rsid w:val="00186267"/>
    <w:rsid w:val="00190557"/>
    <w:rsid w:val="0019122B"/>
    <w:rsid w:val="001A4238"/>
    <w:rsid w:val="001B188B"/>
    <w:rsid w:val="001B7D1E"/>
    <w:rsid w:val="001C2717"/>
    <w:rsid w:val="001C3FBD"/>
    <w:rsid w:val="001D350E"/>
    <w:rsid w:val="001E4338"/>
    <w:rsid w:val="001E71AB"/>
    <w:rsid w:val="001E7317"/>
    <w:rsid w:val="001F3101"/>
    <w:rsid w:val="001F3E31"/>
    <w:rsid w:val="001F74EF"/>
    <w:rsid w:val="002000C0"/>
    <w:rsid w:val="002155D8"/>
    <w:rsid w:val="00227115"/>
    <w:rsid w:val="002304B5"/>
    <w:rsid w:val="00235E23"/>
    <w:rsid w:val="00240B18"/>
    <w:rsid w:val="002473D2"/>
    <w:rsid w:val="00247BBA"/>
    <w:rsid w:val="00252AA0"/>
    <w:rsid w:val="00255A16"/>
    <w:rsid w:val="00257AD2"/>
    <w:rsid w:val="00257BB6"/>
    <w:rsid w:val="0026013A"/>
    <w:rsid w:val="002603D4"/>
    <w:rsid w:val="00266D1F"/>
    <w:rsid w:val="0027335C"/>
    <w:rsid w:val="00273C5E"/>
    <w:rsid w:val="00277538"/>
    <w:rsid w:val="002861F8"/>
    <w:rsid w:val="00286B57"/>
    <w:rsid w:val="00287926"/>
    <w:rsid w:val="00296474"/>
    <w:rsid w:val="0029737A"/>
    <w:rsid w:val="002A30CB"/>
    <w:rsid w:val="002B2E04"/>
    <w:rsid w:val="002B2E96"/>
    <w:rsid w:val="002B41CE"/>
    <w:rsid w:val="002B4745"/>
    <w:rsid w:val="002B660F"/>
    <w:rsid w:val="002B6FB1"/>
    <w:rsid w:val="002B7767"/>
    <w:rsid w:val="002D0FD1"/>
    <w:rsid w:val="002D1692"/>
    <w:rsid w:val="002D572E"/>
    <w:rsid w:val="002E0D01"/>
    <w:rsid w:val="002E15A1"/>
    <w:rsid w:val="002E3E6C"/>
    <w:rsid w:val="002E5996"/>
    <w:rsid w:val="002F09D9"/>
    <w:rsid w:val="002F23AE"/>
    <w:rsid w:val="002F51C8"/>
    <w:rsid w:val="002F52B8"/>
    <w:rsid w:val="002F74BA"/>
    <w:rsid w:val="002F7639"/>
    <w:rsid w:val="00310275"/>
    <w:rsid w:val="00313F4E"/>
    <w:rsid w:val="00314858"/>
    <w:rsid w:val="00316E18"/>
    <w:rsid w:val="003213B6"/>
    <w:rsid w:val="00321E33"/>
    <w:rsid w:val="00322E15"/>
    <w:rsid w:val="00324838"/>
    <w:rsid w:val="00341D61"/>
    <w:rsid w:val="00347F8C"/>
    <w:rsid w:val="00353A63"/>
    <w:rsid w:val="003571F3"/>
    <w:rsid w:val="00357882"/>
    <w:rsid w:val="00357E80"/>
    <w:rsid w:val="003635F4"/>
    <w:rsid w:val="0037245A"/>
    <w:rsid w:val="00372ABF"/>
    <w:rsid w:val="00374E7E"/>
    <w:rsid w:val="00375BCC"/>
    <w:rsid w:val="00377B3A"/>
    <w:rsid w:val="00383B2D"/>
    <w:rsid w:val="00394FB1"/>
    <w:rsid w:val="003954A3"/>
    <w:rsid w:val="00396E27"/>
    <w:rsid w:val="00397DEB"/>
    <w:rsid w:val="003A04F5"/>
    <w:rsid w:val="003A12E3"/>
    <w:rsid w:val="003A54E1"/>
    <w:rsid w:val="003B101C"/>
    <w:rsid w:val="003B23A8"/>
    <w:rsid w:val="003B3625"/>
    <w:rsid w:val="003C0346"/>
    <w:rsid w:val="003C1702"/>
    <w:rsid w:val="003C27AB"/>
    <w:rsid w:val="003C336F"/>
    <w:rsid w:val="003C3738"/>
    <w:rsid w:val="003C482C"/>
    <w:rsid w:val="003D0009"/>
    <w:rsid w:val="003D507D"/>
    <w:rsid w:val="003D7D15"/>
    <w:rsid w:val="003E0A68"/>
    <w:rsid w:val="003E1284"/>
    <w:rsid w:val="003E1A31"/>
    <w:rsid w:val="003E45D7"/>
    <w:rsid w:val="003F0CD5"/>
    <w:rsid w:val="003F0E48"/>
    <w:rsid w:val="003F0FC9"/>
    <w:rsid w:val="003F452F"/>
    <w:rsid w:val="003F5FB7"/>
    <w:rsid w:val="003F7544"/>
    <w:rsid w:val="004000E8"/>
    <w:rsid w:val="00401899"/>
    <w:rsid w:val="0040249D"/>
    <w:rsid w:val="00405493"/>
    <w:rsid w:val="00406FC1"/>
    <w:rsid w:val="004142AF"/>
    <w:rsid w:val="00415E3A"/>
    <w:rsid w:val="004232F4"/>
    <w:rsid w:val="00425531"/>
    <w:rsid w:val="004278AC"/>
    <w:rsid w:val="004323E8"/>
    <w:rsid w:val="00434577"/>
    <w:rsid w:val="00436AAE"/>
    <w:rsid w:val="0045287C"/>
    <w:rsid w:val="004546C7"/>
    <w:rsid w:val="00456DF9"/>
    <w:rsid w:val="00461A33"/>
    <w:rsid w:val="00461FF9"/>
    <w:rsid w:val="00466D3E"/>
    <w:rsid w:val="0047620A"/>
    <w:rsid w:val="004776D1"/>
    <w:rsid w:val="004811A2"/>
    <w:rsid w:val="0049782A"/>
    <w:rsid w:val="004A58BE"/>
    <w:rsid w:val="004B0ACA"/>
    <w:rsid w:val="004B1432"/>
    <w:rsid w:val="004B1E51"/>
    <w:rsid w:val="004E1ED5"/>
    <w:rsid w:val="004E24CE"/>
    <w:rsid w:val="004E43DE"/>
    <w:rsid w:val="004F42C2"/>
    <w:rsid w:val="004F6E2C"/>
    <w:rsid w:val="004F79C1"/>
    <w:rsid w:val="00504103"/>
    <w:rsid w:val="0050581A"/>
    <w:rsid w:val="00515E66"/>
    <w:rsid w:val="00517E09"/>
    <w:rsid w:val="00533E12"/>
    <w:rsid w:val="00536B9A"/>
    <w:rsid w:val="00543555"/>
    <w:rsid w:val="005447FD"/>
    <w:rsid w:val="00550F73"/>
    <w:rsid w:val="00551941"/>
    <w:rsid w:val="005520C2"/>
    <w:rsid w:val="00552C1E"/>
    <w:rsid w:val="0055373E"/>
    <w:rsid w:val="005561C6"/>
    <w:rsid w:val="00561598"/>
    <w:rsid w:val="005677DE"/>
    <w:rsid w:val="005717DF"/>
    <w:rsid w:val="0058251B"/>
    <w:rsid w:val="0058455D"/>
    <w:rsid w:val="005877CF"/>
    <w:rsid w:val="00596EE9"/>
    <w:rsid w:val="00597F76"/>
    <w:rsid w:val="005A3357"/>
    <w:rsid w:val="005A5ECA"/>
    <w:rsid w:val="005B1AC1"/>
    <w:rsid w:val="005B2C2D"/>
    <w:rsid w:val="005B3C60"/>
    <w:rsid w:val="005B43DE"/>
    <w:rsid w:val="005B53F2"/>
    <w:rsid w:val="005C0A2E"/>
    <w:rsid w:val="005C0E9D"/>
    <w:rsid w:val="005C491D"/>
    <w:rsid w:val="005C6BE6"/>
    <w:rsid w:val="005C7312"/>
    <w:rsid w:val="005D0158"/>
    <w:rsid w:val="005D24EE"/>
    <w:rsid w:val="005E0EAF"/>
    <w:rsid w:val="005E25A8"/>
    <w:rsid w:val="005E6D7D"/>
    <w:rsid w:val="005F048D"/>
    <w:rsid w:val="005F0EB7"/>
    <w:rsid w:val="005F3200"/>
    <w:rsid w:val="005F4FEF"/>
    <w:rsid w:val="005F6E1E"/>
    <w:rsid w:val="00600C0F"/>
    <w:rsid w:val="00601179"/>
    <w:rsid w:val="00604A77"/>
    <w:rsid w:val="00604AB0"/>
    <w:rsid w:val="00606394"/>
    <w:rsid w:val="00612B54"/>
    <w:rsid w:val="006162CF"/>
    <w:rsid w:val="00616E45"/>
    <w:rsid w:val="00635536"/>
    <w:rsid w:val="00640674"/>
    <w:rsid w:val="0064656D"/>
    <w:rsid w:val="006467F8"/>
    <w:rsid w:val="00647FC6"/>
    <w:rsid w:val="0065060D"/>
    <w:rsid w:val="0065148B"/>
    <w:rsid w:val="006616EC"/>
    <w:rsid w:val="0066194D"/>
    <w:rsid w:val="0067012E"/>
    <w:rsid w:val="006710D5"/>
    <w:rsid w:val="006805BD"/>
    <w:rsid w:val="00683441"/>
    <w:rsid w:val="006926DD"/>
    <w:rsid w:val="00694924"/>
    <w:rsid w:val="0069785A"/>
    <w:rsid w:val="006B3ECA"/>
    <w:rsid w:val="006B7451"/>
    <w:rsid w:val="006B7A1C"/>
    <w:rsid w:val="006C0C6C"/>
    <w:rsid w:val="006C32CD"/>
    <w:rsid w:val="006C43B4"/>
    <w:rsid w:val="006C4596"/>
    <w:rsid w:val="006C5A7F"/>
    <w:rsid w:val="006C5BF7"/>
    <w:rsid w:val="006C73D8"/>
    <w:rsid w:val="006D1782"/>
    <w:rsid w:val="006D1A87"/>
    <w:rsid w:val="006D703D"/>
    <w:rsid w:val="006E584E"/>
    <w:rsid w:val="006E75BC"/>
    <w:rsid w:val="006E77FD"/>
    <w:rsid w:val="006F05BB"/>
    <w:rsid w:val="006F1DBA"/>
    <w:rsid w:val="006F335C"/>
    <w:rsid w:val="00700849"/>
    <w:rsid w:val="0070548E"/>
    <w:rsid w:val="00705712"/>
    <w:rsid w:val="00711CBB"/>
    <w:rsid w:val="00712B10"/>
    <w:rsid w:val="007168D7"/>
    <w:rsid w:val="0072089B"/>
    <w:rsid w:val="00721F48"/>
    <w:rsid w:val="00723B6B"/>
    <w:rsid w:val="00724266"/>
    <w:rsid w:val="00726F5E"/>
    <w:rsid w:val="007319E8"/>
    <w:rsid w:val="00733FC2"/>
    <w:rsid w:val="007435ED"/>
    <w:rsid w:val="00743603"/>
    <w:rsid w:val="007469F8"/>
    <w:rsid w:val="00746DD3"/>
    <w:rsid w:val="00750C74"/>
    <w:rsid w:val="00753A0E"/>
    <w:rsid w:val="007675AE"/>
    <w:rsid w:val="00772DF9"/>
    <w:rsid w:val="00773732"/>
    <w:rsid w:val="00781FC3"/>
    <w:rsid w:val="00782A51"/>
    <w:rsid w:val="0079325A"/>
    <w:rsid w:val="007A11D9"/>
    <w:rsid w:val="007B394C"/>
    <w:rsid w:val="007C1A00"/>
    <w:rsid w:val="007C3CD5"/>
    <w:rsid w:val="007C3D01"/>
    <w:rsid w:val="007C55AE"/>
    <w:rsid w:val="007D035D"/>
    <w:rsid w:val="007D0EAE"/>
    <w:rsid w:val="007D6454"/>
    <w:rsid w:val="007D6A70"/>
    <w:rsid w:val="007E0E45"/>
    <w:rsid w:val="007E21B3"/>
    <w:rsid w:val="007E4828"/>
    <w:rsid w:val="007F0C24"/>
    <w:rsid w:val="007F64C4"/>
    <w:rsid w:val="00803E90"/>
    <w:rsid w:val="00807AD6"/>
    <w:rsid w:val="00813A21"/>
    <w:rsid w:val="00813B5C"/>
    <w:rsid w:val="00813B66"/>
    <w:rsid w:val="0081564E"/>
    <w:rsid w:val="00815858"/>
    <w:rsid w:val="00821D5E"/>
    <w:rsid w:val="00822F37"/>
    <w:rsid w:val="00823C49"/>
    <w:rsid w:val="00824CE5"/>
    <w:rsid w:val="00832EAB"/>
    <w:rsid w:val="00834EC4"/>
    <w:rsid w:val="00837D70"/>
    <w:rsid w:val="008431E3"/>
    <w:rsid w:val="00845E4B"/>
    <w:rsid w:val="00846BD3"/>
    <w:rsid w:val="00847470"/>
    <w:rsid w:val="008501FB"/>
    <w:rsid w:val="008553CD"/>
    <w:rsid w:val="00855CCD"/>
    <w:rsid w:val="00855EB2"/>
    <w:rsid w:val="00856772"/>
    <w:rsid w:val="00861172"/>
    <w:rsid w:val="0086168F"/>
    <w:rsid w:val="00864A13"/>
    <w:rsid w:val="00865EAD"/>
    <w:rsid w:val="00867643"/>
    <w:rsid w:val="00871D92"/>
    <w:rsid w:val="00880F55"/>
    <w:rsid w:val="008829C1"/>
    <w:rsid w:val="0088461A"/>
    <w:rsid w:val="00886161"/>
    <w:rsid w:val="008877B4"/>
    <w:rsid w:val="00892196"/>
    <w:rsid w:val="008A1EFA"/>
    <w:rsid w:val="008A5D1C"/>
    <w:rsid w:val="008B0836"/>
    <w:rsid w:val="008B3556"/>
    <w:rsid w:val="008B3B51"/>
    <w:rsid w:val="008B5F60"/>
    <w:rsid w:val="008C3414"/>
    <w:rsid w:val="008C37F3"/>
    <w:rsid w:val="008D27F6"/>
    <w:rsid w:val="008E3580"/>
    <w:rsid w:val="008E448F"/>
    <w:rsid w:val="008E4D7C"/>
    <w:rsid w:val="008F2A77"/>
    <w:rsid w:val="008F5A06"/>
    <w:rsid w:val="008F70A4"/>
    <w:rsid w:val="008F728E"/>
    <w:rsid w:val="00900396"/>
    <w:rsid w:val="009010CD"/>
    <w:rsid w:val="00901270"/>
    <w:rsid w:val="0090255D"/>
    <w:rsid w:val="00911825"/>
    <w:rsid w:val="00923EEB"/>
    <w:rsid w:val="009359AA"/>
    <w:rsid w:val="009367FE"/>
    <w:rsid w:val="0094084E"/>
    <w:rsid w:val="009422B5"/>
    <w:rsid w:val="009501FD"/>
    <w:rsid w:val="009574DB"/>
    <w:rsid w:val="009608B3"/>
    <w:rsid w:val="00963251"/>
    <w:rsid w:val="00965555"/>
    <w:rsid w:val="009673F2"/>
    <w:rsid w:val="00967F41"/>
    <w:rsid w:val="00972278"/>
    <w:rsid w:val="00972448"/>
    <w:rsid w:val="0097401D"/>
    <w:rsid w:val="009779B5"/>
    <w:rsid w:val="0098223A"/>
    <w:rsid w:val="00983E52"/>
    <w:rsid w:val="00985BDD"/>
    <w:rsid w:val="009922CA"/>
    <w:rsid w:val="009A0ADE"/>
    <w:rsid w:val="009A1BF1"/>
    <w:rsid w:val="009B034C"/>
    <w:rsid w:val="009B4DC7"/>
    <w:rsid w:val="009C09F0"/>
    <w:rsid w:val="009C5FB9"/>
    <w:rsid w:val="009D3E34"/>
    <w:rsid w:val="009E54B0"/>
    <w:rsid w:val="009F04F7"/>
    <w:rsid w:val="009F2BDA"/>
    <w:rsid w:val="009F3325"/>
    <w:rsid w:val="009F505C"/>
    <w:rsid w:val="009F5656"/>
    <w:rsid w:val="00A02554"/>
    <w:rsid w:val="00A04A87"/>
    <w:rsid w:val="00A072B2"/>
    <w:rsid w:val="00A11FCB"/>
    <w:rsid w:val="00A16D64"/>
    <w:rsid w:val="00A21585"/>
    <w:rsid w:val="00A40F5A"/>
    <w:rsid w:val="00A43639"/>
    <w:rsid w:val="00A46C3B"/>
    <w:rsid w:val="00A477B8"/>
    <w:rsid w:val="00A550EB"/>
    <w:rsid w:val="00A6222B"/>
    <w:rsid w:val="00A6379D"/>
    <w:rsid w:val="00A65913"/>
    <w:rsid w:val="00A66713"/>
    <w:rsid w:val="00A83495"/>
    <w:rsid w:val="00A9114A"/>
    <w:rsid w:val="00A926A4"/>
    <w:rsid w:val="00A96278"/>
    <w:rsid w:val="00AA139C"/>
    <w:rsid w:val="00AA2F60"/>
    <w:rsid w:val="00AA4918"/>
    <w:rsid w:val="00AA4DBE"/>
    <w:rsid w:val="00AA55E4"/>
    <w:rsid w:val="00AB0F80"/>
    <w:rsid w:val="00AB2E93"/>
    <w:rsid w:val="00AB33E4"/>
    <w:rsid w:val="00AB36FE"/>
    <w:rsid w:val="00AC2D49"/>
    <w:rsid w:val="00AC526B"/>
    <w:rsid w:val="00AD0367"/>
    <w:rsid w:val="00AD1588"/>
    <w:rsid w:val="00AD5959"/>
    <w:rsid w:val="00AE2843"/>
    <w:rsid w:val="00AE36F3"/>
    <w:rsid w:val="00AE3F44"/>
    <w:rsid w:val="00AE67DF"/>
    <w:rsid w:val="00AF058B"/>
    <w:rsid w:val="00AF376E"/>
    <w:rsid w:val="00AF5FEB"/>
    <w:rsid w:val="00AF7DD6"/>
    <w:rsid w:val="00B076EC"/>
    <w:rsid w:val="00B21D42"/>
    <w:rsid w:val="00B30E85"/>
    <w:rsid w:val="00B322E2"/>
    <w:rsid w:val="00B37766"/>
    <w:rsid w:val="00B42C7D"/>
    <w:rsid w:val="00B44B71"/>
    <w:rsid w:val="00B6483E"/>
    <w:rsid w:val="00B67706"/>
    <w:rsid w:val="00B72814"/>
    <w:rsid w:val="00B74B8D"/>
    <w:rsid w:val="00B75C03"/>
    <w:rsid w:val="00B77F58"/>
    <w:rsid w:val="00B82135"/>
    <w:rsid w:val="00B8489A"/>
    <w:rsid w:val="00B91E01"/>
    <w:rsid w:val="00B91ED0"/>
    <w:rsid w:val="00BA0A42"/>
    <w:rsid w:val="00BA1BEB"/>
    <w:rsid w:val="00BA233D"/>
    <w:rsid w:val="00BA39C9"/>
    <w:rsid w:val="00BA3AA5"/>
    <w:rsid w:val="00BB1611"/>
    <w:rsid w:val="00BB3065"/>
    <w:rsid w:val="00BB45A3"/>
    <w:rsid w:val="00BB6B76"/>
    <w:rsid w:val="00BB708D"/>
    <w:rsid w:val="00BC0B9F"/>
    <w:rsid w:val="00BC23DF"/>
    <w:rsid w:val="00BC5B9C"/>
    <w:rsid w:val="00BD05F1"/>
    <w:rsid w:val="00BE2AB5"/>
    <w:rsid w:val="00BE711F"/>
    <w:rsid w:val="00BF14B1"/>
    <w:rsid w:val="00BF576D"/>
    <w:rsid w:val="00BF7342"/>
    <w:rsid w:val="00C025E4"/>
    <w:rsid w:val="00C04947"/>
    <w:rsid w:val="00C077BD"/>
    <w:rsid w:val="00C10797"/>
    <w:rsid w:val="00C129FF"/>
    <w:rsid w:val="00C13E63"/>
    <w:rsid w:val="00C15343"/>
    <w:rsid w:val="00C17E1A"/>
    <w:rsid w:val="00C21170"/>
    <w:rsid w:val="00C21E56"/>
    <w:rsid w:val="00C221CA"/>
    <w:rsid w:val="00C23F91"/>
    <w:rsid w:val="00C25566"/>
    <w:rsid w:val="00C37ACE"/>
    <w:rsid w:val="00C43CE1"/>
    <w:rsid w:val="00C4469B"/>
    <w:rsid w:val="00C4488F"/>
    <w:rsid w:val="00C46BCC"/>
    <w:rsid w:val="00C47E8D"/>
    <w:rsid w:val="00C510E6"/>
    <w:rsid w:val="00C5431A"/>
    <w:rsid w:val="00C54B96"/>
    <w:rsid w:val="00C55638"/>
    <w:rsid w:val="00C70D21"/>
    <w:rsid w:val="00C72D7E"/>
    <w:rsid w:val="00C73AA7"/>
    <w:rsid w:val="00C74ADB"/>
    <w:rsid w:val="00C74C4A"/>
    <w:rsid w:val="00C75149"/>
    <w:rsid w:val="00C756FA"/>
    <w:rsid w:val="00C772DC"/>
    <w:rsid w:val="00C839DA"/>
    <w:rsid w:val="00C868AC"/>
    <w:rsid w:val="00C90C3B"/>
    <w:rsid w:val="00C90EB3"/>
    <w:rsid w:val="00C93E0F"/>
    <w:rsid w:val="00C941D8"/>
    <w:rsid w:val="00C94883"/>
    <w:rsid w:val="00CA044B"/>
    <w:rsid w:val="00CA3F39"/>
    <w:rsid w:val="00CB43A6"/>
    <w:rsid w:val="00CB7812"/>
    <w:rsid w:val="00CC31FB"/>
    <w:rsid w:val="00CC3650"/>
    <w:rsid w:val="00CC3705"/>
    <w:rsid w:val="00CC5C53"/>
    <w:rsid w:val="00CC61EF"/>
    <w:rsid w:val="00CC6E9A"/>
    <w:rsid w:val="00CD4F6C"/>
    <w:rsid w:val="00CE3538"/>
    <w:rsid w:val="00CE4B01"/>
    <w:rsid w:val="00D03671"/>
    <w:rsid w:val="00D072EB"/>
    <w:rsid w:val="00D12024"/>
    <w:rsid w:val="00D14A49"/>
    <w:rsid w:val="00D207C3"/>
    <w:rsid w:val="00D21BDE"/>
    <w:rsid w:val="00D22496"/>
    <w:rsid w:val="00D25ED9"/>
    <w:rsid w:val="00D306A2"/>
    <w:rsid w:val="00D33080"/>
    <w:rsid w:val="00D40ED9"/>
    <w:rsid w:val="00D42425"/>
    <w:rsid w:val="00D45CD7"/>
    <w:rsid w:val="00D46A97"/>
    <w:rsid w:val="00D54F09"/>
    <w:rsid w:val="00D55F89"/>
    <w:rsid w:val="00D60C41"/>
    <w:rsid w:val="00D62DE0"/>
    <w:rsid w:val="00D710A3"/>
    <w:rsid w:val="00D73530"/>
    <w:rsid w:val="00D831D2"/>
    <w:rsid w:val="00D84545"/>
    <w:rsid w:val="00D92D65"/>
    <w:rsid w:val="00D94302"/>
    <w:rsid w:val="00D976A7"/>
    <w:rsid w:val="00DA1693"/>
    <w:rsid w:val="00DA35E9"/>
    <w:rsid w:val="00DA626A"/>
    <w:rsid w:val="00DA7BF7"/>
    <w:rsid w:val="00DB47B9"/>
    <w:rsid w:val="00DB7D70"/>
    <w:rsid w:val="00DB7DD3"/>
    <w:rsid w:val="00DC3229"/>
    <w:rsid w:val="00DC3BA2"/>
    <w:rsid w:val="00DC49F5"/>
    <w:rsid w:val="00DD670A"/>
    <w:rsid w:val="00DE7625"/>
    <w:rsid w:val="00E015E3"/>
    <w:rsid w:val="00E03666"/>
    <w:rsid w:val="00E03A01"/>
    <w:rsid w:val="00E0632F"/>
    <w:rsid w:val="00E127A6"/>
    <w:rsid w:val="00E14640"/>
    <w:rsid w:val="00E16982"/>
    <w:rsid w:val="00E23AE2"/>
    <w:rsid w:val="00E23C39"/>
    <w:rsid w:val="00E2567C"/>
    <w:rsid w:val="00E27147"/>
    <w:rsid w:val="00E42A7A"/>
    <w:rsid w:val="00E435F3"/>
    <w:rsid w:val="00E544FB"/>
    <w:rsid w:val="00E62F9A"/>
    <w:rsid w:val="00E63301"/>
    <w:rsid w:val="00E64EDD"/>
    <w:rsid w:val="00E6542B"/>
    <w:rsid w:val="00E711E4"/>
    <w:rsid w:val="00E71F97"/>
    <w:rsid w:val="00E75076"/>
    <w:rsid w:val="00E77415"/>
    <w:rsid w:val="00E81180"/>
    <w:rsid w:val="00E87566"/>
    <w:rsid w:val="00E90CD0"/>
    <w:rsid w:val="00E91E30"/>
    <w:rsid w:val="00E9385C"/>
    <w:rsid w:val="00E95175"/>
    <w:rsid w:val="00E9696D"/>
    <w:rsid w:val="00EA0CE0"/>
    <w:rsid w:val="00EB0233"/>
    <w:rsid w:val="00EB58EF"/>
    <w:rsid w:val="00EB6C40"/>
    <w:rsid w:val="00EC05D8"/>
    <w:rsid w:val="00EC212C"/>
    <w:rsid w:val="00EC467B"/>
    <w:rsid w:val="00ED0E0C"/>
    <w:rsid w:val="00ED7DFA"/>
    <w:rsid w:val="00EE2DBE"/>
    <w:rsid w:val="00EF5C49"/>
    <w:rsid w:val="00F016B9"/>
    <w:rsid w:val="00F05302"/>
    <w:rsid w:val="00F07A2D"/>
    <w:rsid w:val="00F10367"/>
    <w:rsid w:val="00F11633"/>
    <w:rsid w:val="00F140FE"/>
    <w:rsid w:val="00F155B1"/>
    <w:rsid w:val="00F17D98"/>
    <w:rsid w:val="00F24232"/>
    <w:rsid w:val="00F26177"/>
    <w:rsid w:val="00F2635B"/>
    <w:rsid w:val="00F31235"/>
    <w:rsid w:val="00F31F70"/>
    <w:rsid w:val="00F3396F"/>
    <w:rsid w:val="00F36B29"/>
    <w:rsid w:val="00F40007"/>
    <w:rsid w:val="00F40503"/>
    <w:rsid w:val="00F43493"/>
    <w:rsid w:val="00F56E07"/>
    <w:rsid w:val="00F60E81"/>
    <w:rsid w:val="00F6189E"/>
    <w:rsid w:val="00F63B1D"/>
    <w:rsid w:val="00F63F9B"/>
    <w:rsid w:val="00F65D6F"/>
    <w:rsid w:val="00F71787"/>
    <w:rsid w:val="00F72109"/>
    <w:rsid w:val="00F76CBC"/>
    <w:rsid w:val="00F76CBE"/>
    <w:rsid w:val="00F83FB7"/>
    <w:rsid w:val="00F90F10"/>
    <w:rsid w:val="00F9597B"/>
    <w:rsid w:val="00FA0A38"/>
    <w:rsid w:val="00FA1146"/>
    <w:rsid w:val="00FA67AE"/>
    <w:rsid w:val="00FB0CD5"/>
    <w:rsid w:val="00FB1CCE"/>
    <w:rsid w:val="00FB2B75"/>
    <w:rsid w:val="00FB3839"/>
    <w:rsid w:val="00FB74FD"/>
    <w:rsid w:val="00FC1E76"/>
    <w:rsid w:val="00FC4479"/>
    <w:rsid w:val="00FD1F3F"/>
    <w:rsid w:val="00FD3E54"/>
    <w:rsid w:val="00FE2B23"/>
    <w:rsid w:val="00FE3443"/>
    <w:rsid w:val="00FE7DD3"/>
    <w:rsid w:val="00FF163D"/>
    <w:rsid w:val="00FF65BC"/>
    <w:rsid w:val="00FF66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12126C61"/>
  <w15:chartTrackingRefBased/>
  <w15:docId w15:val="{093AD757-0E80-4337-90EC-9EB2BCF9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locked="1"/>
    <w:lsdException w:name="toc 3" w:locked="1"/>
    <w:lsdException w:name="Normal Indent" w:locked="1"/>
    <w:lsdException w:name="annotation text" w:locked="1"/>
    <w:lsdException w:name="footer" w:uiPriority="99"/>
    <w:lsdException w:name="caption" w:locked="1" w:semiHidden="1" w:unhideWhenUsed="1" w:qFormat="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macro" w:locked="1"/>
    <w:lsdException w:name="Lis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qFormat="1"/>
    <w:lsdException w:name="Document Map" w:locked="1"/>
    <w:lsdException w:name="Plain Text" w:locked="1" w:uiPriority="99"/>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A34D0"/>
    <w:rPr>
      <w:rFonts w:ascii="CorpoS" w:hAnsi="CorpoS"/>
      <w:sz w:val="22"/>
      <w:szCs w:val="24"/>
    </w:rPr>
  </w:style>
  <w:style w:type="paragraph" w:styleId="berschrift1">
    <w:name w:val="heading 1"/>
    <w:basedOn w:val="Standard"/>
    <w:next w:val="Standard"/>
    <w:link w:val="berschrift1Zchn"/>
    <w:qFormat/>
    <w:rsid w:val="00C510E6"/>
    <w:pPr>
      <w:keepNext/>
      <w:numPr>
        <w:numId w:val="4"/>
      </w:numPr>
      <w:spacing w:after="110"/>
      <w:outlineLvl w:val="0"/>
    </w:pPr>
    <w:rPr>
      <w:rFonts w:ascii="CorpoSExtBol" w:hAnsi="CorpoSExtBol" w:cs="Arial"/>
      <w:bCs/>
      <w:w w:val="95"/>
      <w:kern w:val="32"/>
      <w:szCs w:val="22"/>
    </w:rPr>
  </w:style>
  <w:style w:type="paragraph" w:styleId="berschrift2">
    <w:name w:val="heading 2"/>
    <w:basedOn w:val="Standard"/>
    <w:next w:val="Standard"/>
    <w:qFormat/>
    <w:rsid w:val="00AF5FEB"/>
    <w:pPr>
      <w:keepNext/>
      <w:outlineLvl w:val="1"/>
    </w:pPr>
    <w:rPr>
      <w:rFonts w:ascii="CorpoSExtBol" w:hAnsi="CorpoSExtBol" w:cs="Arial"/>
      <w:bCs/>
      <w:iCs/>
      <w:w w:val="95"/>
      <w:szCs w:val="22"/>
    </w:rPr>
  </w:style>
  <w:style w:type="paragraph" w:styleId="berschrift3">
    <w:name w:val="heading 3"/>
    <w:basedOn w:val="Standard"/>
    <w:next w:val="Standard"/>
    <w:qFormat/>
    <w:rsid w:val="00AF5FEB"/>
    <w:pPr>
      <w:keepNext/>
      <w:outlineLvl w:val="2"/>
    </w:pPr>
    <w:rPr>
      <w:rFonts w:cs="Arial"/>
      <w:bCs/>
      <w:i/>
      <w:w w:val="95"/>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6483E"/>
    <w:pPr>
      <w:tabs>
        <w:tab w:val="center" w:pos="4536"/>
        <w:tab w:val="right" w:pos="9072"/>
      </w:tabs>
    </w:pPr>
  </w:style>
  <w:style w:type="paragraph" w:styleId="Fuzeile">
    <w:name w:val="footer"/>
    <w:basedOn w:val="Standard"/>
    <w:link w:val="FuzeileZchn"/>
    <w:uiPriority w:val="99"/>
    <w:rsid w:val="00FE7DD3"/>
    <w:pPr>
      <w:tabs>
        <w:tab w:val="center" w:pos="4536"/>
        <w:tab w:val="right" w:pos="9072"/>
      </w:tabs>
      <w:spacing w:line="200" w:lineRule="exact"/>
      <w:jc w:val="right"/>
    </w:pPr>
    <w:rPr>
      <w:sz w:val="19"/>
    </w:rPr>
  </w:style>
  <w:style w:type="paragraph" w:customStyle="1" w:styleId="StandardTitel">
    <w:name w:val="Standard Titel"/>
    <w:basedOn w:val="Standard"/>
    <w:next w:val="Standard"/>
    <w:link w:val="StandardTitelZchn"/>
    <w:rsid w:val="00100C7C"/>
    <w:pPr>
      <w:numPr>
        <w:numId w:val="2"/>
      </w:numPr>
      <w:spacing w:after="360" w:line="400" w:lineRule="exact"/>
      <w:ind w:hanging="181"/>
    </w:pPr>
    <w:rPr>
      <w:rFonts w:ascii="CorpoSExtBol" w:hAnsi="CorpoSExtBol"/>
      <w:w w:val="95"/>
      <w:sz w:val="36"/>
      <w:szCs w:val="36"/>
      <w:lang w:val="en-GB"/>
    </w:rPr>
  </w:style>
  <w:style w:type="table" w:customStyle="1" w:styleId="Tabellengitternetz">
    <w:name w:val="Tabellengitternetz"/>
    <w:basedOn w:val="NormaleTabelle"/>
    <w:locked/>
    <w:rsid w:val="000A3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link w:val="berschrift1"/>
    <w:rsid w:val="00C510E6"/>
    <w:rPr>
      <w:rFonts w:ascii="CorpoSExtBol" w:hAnsi="CorpoSExtBol" w:cs="Arial"/>
      <w:bCs/>
      <w:w w:val="95"/>
      <w:kern w:val="32"/>
      <w:sz w:val="22"/>
      <w:szCs w:val="22"/>
      <w:lang w:val="de-DE" w:eastAsia="de-DE" w:bidi="ar-SA"/>
    </w:rPr>
  </w:style>
  <w:style w:type="character" w:customStyle="1" w:styleId="StandardTitelZchn">
    <w:name w:val="Standard Titel Zchn"/>
    <w:link w:val="StandardTitel"/>
    <w:rsid w:val="00100C7C"/>
    <w:rPr>
      <w:rFonts w:ascii="CorpoSExtBol" w:hAnsi="CorpoSExtBol"/>
      <w:w w:val="95"/>
      <w:sz w:val="36"/>
      <w:szCs w:val="36"/>
      <w:lang w:val="en-GB" w:eastAsia="de-DE" w:bidi="ar-SA"/>
    </w:rPr>
  </w:style>
  <w:style w:type="paragraph" w:styleId="Verzeichnis1">
    <w:name w:val="toc 1"/>
    <w:basedOn w:val="Standard"/>
    <w:next w:val="Standard"/>
    <w:autoRedefine/>
    <w:semiHidden/>
    <w:rsid w:val="00C510E6"/>
  </w:style>
  <w:style w:type="paragraph" w:styleId="Verzeichnis2">
    <w:name w:val="toc 2"/>
    <w:basedOn w:val="Standard"/>
    <w:next w:val="Standard"/>
    <w:autoRedefine/>
    <w:semiHidden/>
    <w:rsid w:val="00C510E6"/>
    <w:pPr>
      <w:ind w:left="220"/>
    </w:pPr>
  </w:style>
  <w:style w:type="paragraph" w:styleId="Verzeichnis3">
    <w:name w:val="toc 3"/>
    <w:basedOn w:val="Standard"/>
    <w:next w:val="Standard"/>
    <w:autoRedefine/>
    <w:semiHidden/>
    <w:rsid w:val="00C510E6"/>
    <w:pPr>
      <w:ind w:left="440"/>
    </w:pPr>
  </w:style>
  <w:style w:type="character" w:styleId="Hyperlink">
    <w:name w:val="Hyperlink"/>
    <w:locked/>
    <w:rsid w:val="00C510E6"/>
    <w:rPr>
      <w:color w:val="0000FF"/>
      <w:u w:val="single"/>
    </w:rPr>
  </w:style>
  <w:style w:type="character" w:styleId="Seitenzahl">
    <w:name w:val="page number"/>
    <w:basedOn w:val="Absatz-Standardschriftart"/>
    <w:locked/>
    <w:rsid w:val="00F40503"/>
  </w:style>
  <w:style w:type="paragraph" w:customStyle="1" w:styleId="StandardTitelohneNr">
    <w:name w:val="Standard Titel ohne Nr"/>
    <w:basedOn w:val="StandardTitel"/>
    <w:next w:val="Standard"/>
    <w:rsid w:val="006162CF"/>
    <w:pPr>
      <w:numPr>
        <w:numId w:val="0"/>
      </w:numPr>
    </w:pPr>
    <w:rPr>
      <w:szCs w:val="20"/>
    </w:rPr>
  </w:style>
  <w:style w:type="paragraph" w:customStyle="1" w:styleId="1berschriftohneNr">
    <w:name w:val="1.Überschrift ohne Nr"/>
    <w:basedOn w:val="berschrift1"/>
    <w:next w:val="Standard"/>
    <w:rsid w:val="006162CF"/>
    <w:pPr>
      <w:numPr>
        <w:numId w:val="0"/>
      </w:numPr>
    </w:pPr>
    <w:rPr>
      <w:rFonts w:cs="Times New Roman"/>
      <w:bCs w:val="0"/>
      <w:szCs w:val="20"/>
    </w:rPr>
  </w:style>
  <w:style w:type="numbering" w:customStyle="1" w:styleId="Aufzhlung">
    <w:name w:val="Aufzählung"/>
    <w:basedOn w:val="KeineListe"/>
    <w:rsid w:val="00855EB2"/>
    <w:pPr>
      <w:numPr>
        <w:numId w:val="9"/>
      </w:numPr>
    </w:pPr>
  </w:style>
  <w:style w:type="paragraph" w:styleId="Funotentext">
    <w:name w:val="footnote text"/>
    <w:basedOn w:val="Standard"/>
    <w:semiHidden/>
    <w:rsid w:val="00AB2E93"/>
    <w:rPr>
      <w:sz w:val="20"/>
      <w:szCs w:val="20"/>
    </w:rPr>
  </w:style>
  <w:style w:type="character" w:styleId="Funotenzeichen">
    <w:name w:val="footnote reference"/>
    <w:semiHidden/>
    <w:locked/>
    <w:rsid w:val="00AB2E93"/>
    <w:rPr>
      <w:vertAlign w:val="superscript"/>
    </w:rPr>
  </w:style>
  <w:style w:type="paragraph" w:styleId="NurText">
    <w:name w:val="Plain Text"/>
    <w:basedOn w:val="Standard"/>
    <w:link w:val="NurTextZchn"/>
    <w:uiPriority w:val="99"/>
    <w:unhideWhenUsed/>
    <w:locked/>
    <w:rsid w:val="00C129FF"/>
    <w:rPr>
      <w:rFonts w:ascii="Consolas" w:eastAsia="Calibri" w:hAnsi="Consolas"/>
      <w:sz w:val="21"/>
      <w:szCs w:val="21"/>
      <w:lang w:val="x-none" w:eastAsia="en-US"/>
    </w:rPr>
  </w:style>
  <w:style w:type="character" w:customStyle="1" w:styleId="NurTextZchn">
    <w:name w:val="Nur Text Zchn"/>
    <w:link w:val="NurText"/>
    <w:uiPriority w:val="99"/>
    <w:rsid w:val="00C129FF"/>
    <w:rPr>
      <w:rFonts w:ascii="Consolas" w:eastAsia="Calibri" w:hAnsi="Consolas" w:cs="Times New Roman"/>
      <w:sz w:val="21"/>
      <w:szCs w:val="21"/>
      <w:lang w:eastAsia="en-US"/>
    </w:rPr>
  </w:style>
  <w:style w:type="paragraph" w:styleId="Sprechblasentext">
    <w:name w:val="Balloon Text"/>
    <w:basedOn w:val="Standard"/>
    <w:link w:val="SprechblasentextZchn"/>
    <w:locked/>
    <w:rsid w:val="00D072EB"/>
    <w:rPr>
      <w:rFonts w:ascii="Segoe UI" w:hAnsi="Segoe UI"/>
      <w:sz w:val="18"/>
      <w:szCs w:val="18"/>
      <w:lang w:val="x-none" w:eastAsia="x-none"/>
    </w:rPr>
  </w:style>
  <w:style w:type="character" w:customStyle="1" w:styleId="SprechblasentextZchn">
    <w:name w:val="Sprechblasentext Zchn"/>
    <w:link w:val="Sprechblasentext"/>
    <w:rsid w:val="00D072EB"/>
    <w:rPr>
      <w:rFonts w:ascii="Segoe UI" w:hAnsi="Segoe UI" w:cs="Segoe UI"/>
      <w:sz w:val="18"/>
      <w:szCs w:val="18"/>
    </w:rPr>
  </w:style>
  <w:style w:type="paragraph" w:styleId="Listenabsatz">
    <w:name w:val="List Paragraph"/>
    <w:basedOn w:val="Standard"/>
    <w:uiPriority w:val="34"/>
    <w:qFormat/>
    <w:rsid w:val="00060E4B"/>
    <w:pPr>
      <w:ind w:left="708"/>
    </w:pPr>
  </w:style>
  <w:style w:type="paragraph" w:styleId="StandardWeb">
    <w:name w:val="Normal (Web)"/>
    <w:basedOn w:val="Standard"/>
    <w:uiPriority w:val="99"/>
    <w:unhideWhenUsed/>
    <w:locked/>
    <w:rsid w:val="003E1284"/>
    <w:pPr>
      <w:spacing w:before="100" w:beforeAutospacing="1" w:after="100" w:afterAutospacing="1"/>
    </w:pPr>
    <w:rPr>
      <w:rFonts w:ascii="Times New Roman" w:eastAsia="Calibri" w:hAnsi="Times New Roman"/>
      <w:color w:val="000000"/>
      <w:sz w:val="24"/>
    </w:rPr>
  </w:style>
  <w:style w:type="character" w:styleId="Fett">
    <w:name w:val="Strong"/>
    <w:uiPriority w:val="22"/>
    <w:qFormat/>
    <w:locked/>
    <w:rsid w:val="003E1284"/>
    <w:rPr>
      <w:b/>
      <w:bCs/>
    </w:rPr>
  </w:style>
  <w:style w:type="character" w:customStyle="1" w:styleId="FuzeileZchn">
    <w:name w:val="Fußzeile Zchn"/>
    <w:link w:val="Fuzeile"/>
    <w:uiPriority w:val="99"/>
    <w:rsid w:val="00E6542B"/>
    <w:rPr>
      <w:rFonts w:ascii="CorpoS" w:hAnsi="CorpoS"/>
      <w:sz w:val="19"/>
      <w:szCs w:val="24"/>
    </w:rPr>
  </w:style>
  <w:style w:type="character" w:styleId="Kommentarzeichen">
    <w:name w:val="annotation reference"/>
    <w:locked/>
    <w:rsid w:val="00072390"/>
    <w:rPr>
      <w:sz w:val="16"/>
      <w:szCs w:val="16"/>
    </w:rPr>
  </w:style>
  <w:style w:type="paragraph" w:styleId="Kommentartext">
    <w:name w:val="annotation text"/>
    <w:basedOn w:val="Standard"/>
    <w:link w:val="KommentartextZchn"/>
    <w:locked/>
    <w:rsid w:val="00072390"/>
    <w:rPr>
      <w:sz w:val="20"/>
      <w:szCs w:val="20"/>
    </w:rPr>
  </w:style>
  <w:style w:type="character" w:customStyle="1" w:styleId="KommentartextZchn">
    <w:name w:val="Kommentartext Zchn"/>
    <w:link w:val="Kommentartext"/>
    <w:rsid w:val="00072390"/>
    <w:rPr>
      <w:rFonts w:ascii="CorpoS" w:hAnsi="CorpoS"/>
    </w:rPr>
  </w:style>
  <w:style w:type="paragraph" w:styleId="Kommentarthema">
    <w:name w:val="annotation subject"/>
    <w:basedOn w:val="Kommentartext"/>
    <w:next w:val="Kommentartext"/>
    <w:link w:val="KommentarthemaZchn"/>
    <w:locked/>
    <w:rsid w:val="00072390"/>
    <w:rPr>
      <w:b/>
      <w:bCs/>
    </w:rPr>
  </w:style>
  <w:style w:type="character" w:customStyle="1" w:styleId="KommentarthemaZchn">
    <w:name w:val="Kommentarthema Zchn"/>
    <w:link w:val="Kommentarthema"/>
    <w:rsid w:val="00072390"/>
    <w:rPr>
      <w:rFonts w:ascii="CorpoS" w:hAnsi="CorpoS"/>
      <w:b/>
      <w:bCs/>
    </w:rPr>
  </w:style>
  <w:style w:type="character" w:styleId="BesuchterHyperlink">
    <w:name w:val="FollowedHyperlink"/>
    <w:locked/>
    <w:rsid w:val="00D7353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6119">
      <w:bodyDiv w:val="1"/>
      <w:marLeft w:val="0"/>
      <w:marRight w:val="0"/>
      <w:marTop w:val="0"/>
      <w:marBottom w:val="0"/>
      <w:divBdr>
        <w:top w:val="none" w:sz="0" w:space="0" w:color="auto"/>
        <w:left w:val="none" w:sz="0" w:space="0" w:color="auto"/>
        <w:bottom w:val="none" w:sz="0" w:space="0" w:color="auto"/>
        <w:right w:val="none" w:sz="0" w:space="0" w:color="auto"/>
      </w:divBdr>
    </w:div>
    <w:div w:id="68424108">
      <w:bodyDiv w:val="1"/>
      <w:marLeft w:val="0"/>
      <w:marRight w:val="0"/>
      <w:marTop w:val="0"/>
      <w:marBottom w:val="0"/>
      <w:divBdr>
        <w:top w:val="none" w:sz="0" w:space="0" w:color="auto"/>
        <w:left w:val="none" w:sz="0" w:space="0" w:color="auto"/>
        <w:bottom w:val="none" w:sz="0" w:space="0" w:color="auto"/>
        <w:right w:val="none" w:sz="0" w:space="0" w:color="auto"/>
      </w:divBdr>
    </w:div>
    <w:div w:id="80681524">
      <w:bodyDiv w:val="1"/>
      <w:marLeft w:val="0"/>
      <w:marRight w:val="0"/>
      <w:marTop w:val="0"/>
      <w:marBottom w:val="0"/>
      <w:divBdr>
        <w:top w:val="none" w:sz="0" w:space="0" w:color="auto"/>
        <w:left w:val="none" w:sz="0" w:space="0" w:color="auto"/>
        <w:bottom w:val="none" w:sz="0" w:space="0" w:color="auto"/>
        <w:right w:val="none" w:sz="0" w:space="0" w:color="auto"/>
      </w:divBdr>
    </w:div>
    <w:div w:id="82729265">
      <w:bodyDiv w:val="1"/>
      <w:marLeft w:val="0"/>
      <w:marRight w:val="0"/>
      <w:marTop w:val="0"/>
      <w:marBottom w:val="0"/>
      <w:divBdr>
        <w:top w:val="none" w:sz="0" w:space="0" w:color="auto"/>
        <w:left w:val="none" w:sz="0" w:space="0" w:color="auto"/>
        <w:bottom w:val="none" w:sz="0" w:space="0" w:color="auto"/>
        <w:right w:val="none" w:sz="0" w:space="0" w:color="auto"/>
      </w:divBdr>
    </w:div>
    <w:div w:id="96217569">
      <w:bodyDiv w:val="1"/>
      <w:marLeft w:val="0"/>
      <w:marRight w:val="0"/>
      <w:marTop w:val="0"/>
      <w:marBottom w:val="0"/>
      <w:divBdr>
        <w:top w:val="none" w:sz="0" w:space="0" w:color="auto"/>
        <w:left w:val="none" w:sz="0" w:space="0" w:color="auto"/>
        <w:bottom w:val="none" w:sz="0" w:space="0" w:color="auto"/>
        <w:right w:val="none" w:sz="0" w:space="0" w:color="auto"/>
      </w:divBdr>
    </w:div>
    <w:div w:id="217018652">
      <w:bodyDiv w:val="1"/>
      <w:marLeft w:val="0"/>
      <w:marRight w:val="0"/>
      <w:marTop w:val="0"/>
      <w:marBottom w:val="0"/>
      <w:divBdr>
        <w:top w:val="none" w:sz="0" w:space="0" w:color="auto"/>
        <w:left w:val="none" w:sz="0" w:space="0" w:color="auto"/>
        <w:bottom w:val="none" w:sz="0" w:space="0" w:color="auto"/>
        <w:right w:val="none" w:sz="0" w:space="0" w:color="auto"/>
      </w:divBdr>
    </w:div>
    <w:div w:id="265623235">
      <w:bodyDiv w:val="1"/>
      <w:marLeft w:val="0"/>
      <w:marRight w:val="0"/>
      <w:marTop w:val="0"/>
      <w:marBottom w:val="0"/>
      <w:divBdr>
        <w:top w:val="none" w:sz="0" w:space="0" w:color="auto"/>
        <w:left w:val="none" w:sz="0" w:space="0" w:color="auto"/>
        <w:bottom w:val="none" w:sz="0" w:space="0" w:color="auto"/>
        <w:right w:val="none" w:sz="0" w:space="0" w:color="auto"/>
      </w:divBdr>
      <w:divsChild>
        <w:div w:id="289407131">
          <w:marLeft w:val="0"/>
          <w:marRight w:val="0"/>
          <w:marTop w:val="0"/>
          <w:marBottom w:val="0"/>
          <w:divBdr>
            <w:top w:val="none" w:sz="0" w:space="0" w:color="auto"/>
            <w:left w:val="none" w:sz="0" w:space="0" w:color="auto"/>
            <w:bottom w:val="none" w:sz="0" w:space="0" w:color="auto"/>
            <w:right w:val="none" w:sz="0" w:space="0" w:color="auto"/>
          </w:divBdr>
        </w:div>
        <w:div w:id="317153650">
          <w:marLeft w:val="0"/>
          <w:marRight w:val="0"/>
          <w:marTop w:val="0"/>
          <w:marBottom w:val="0"/>
          <w:divBdr>
            <w:top w:val="none" w:sz="0" w:space="0" w:color="auto"/>
            <w:left w:val="none" w:sz="0" w:space="0" w:color="auto"/>
            <w:bottom w:val="none" w:sz="0" w:space="0" w:color="auto"/>
            <w:right w:val="none" w:sz="0" w:space="0" w:color="auto"/>
          </w:divBdr>
        </w:div>
        <w:div w:id="352918829">
          <w:marLeft w:val="0"/>
          <w:marRight w:val="0"/>
          <w:marTop w:val="0"/>
          <w:marBottom w:val="0"/>
          <w:divBdr>
            <w:top w:val="none" w:sz="0" w:space="0" w:color="auto"/>
            <w:left w:val="none" w:sz="0" w:space="0" w:color="auto"/>
            <w:bottom w:val="none" w:sz="0" w:space="0" w:color="auto"/>
            <w:right w:val="none" w:sz="0" w:space="0" w:color="auto"/>
          </w:divBdr>
        </w:div>
        <w:div w:id="380978785">
          <w:marLeft w:val="0"/>
          <w:marRight w:val="0"/>
          <w:marTop w:val="0"/>
          <w:marBottom w:val="0"/>
          <w:divBdr>
            <w:top w:val="none" w:sz="0" w:space="0" w:color="auto"/>
            <w:left w:val="none" w:sz="0" w:space="0" w:color="auto"/>
            <w:bottom w:val="none" w:sz="0" w:space="0" w:color="auto"/>
            <w:right w:val="none" w:sz="0" w:space="0" w:color="auto"/>
          </w:divBdr>
        </w:div>
        <w:div w:id="448090985">
          <w:marLeft w:val="0"/>
          <w:marRight w:val="0"/>
          <w:marTop w:val="0"/>
          <w:marBottom w:val="0"/>
          <w:divBdr>
            <w:top w:val="none" w:sz="0" w:space="0" w:color="auto"/>
            <w:left w:val="none" w:sz="0" w:space="0" w:color="auto"/>
            <w:bottom w:val="none" w:sz="0" w:space="0" w:color="auto"/>
            <w:right w:val="none" w:sz="0" w:space="0" w:color="auto"/>
          </w:divBdr>
        </w:div>
        <w:div w:id="533616527">
          <w:marLeft w:val="0"/>
          <w:marRight w:val="0"/>
          <w:marTop w:val="0"/>
          <w:marBottom w:val="0"/>
          <w:divBdr>
            <w:top w:val="none" w:sz="0" w:space="0" w:color="auto"/>
            <w:left w:val="none" w:sz="0" w:space="0" w:color="auto"/>
            <w:bottom w:val="none" w:sz="0" w:space="0" w:color="auto"/>
            <w:right w:val="none" w:sz="0" w:space="0" w:color="auto"/>
          </w:divBdr>
        </w:div>
        <w:div w:id="676735684">
          <w:marLeft w:val="0"/>
          <w:marRight w:val="0"/>
          <w:marTop w:val="0"/>
          <w:marBottom w:val="0"/>
          <w:divBdr>
            <w:top w:val="none" w:sz="0" w:space="0" w:color="auto"/>
            <w:left w:val="none" w:sz="0" w:space="0" w:color="auto"/>
            <w:bottom w:val="none" w:sz="0" w:space="0" w:color="auto"/>
            <w:right w:val="none" w:sz="0" w:space="0" w:color="auto"/>
          </w:divBdr>
        </w:div>
        <w:div w:id="751976063">
          <w:marLeft w:val="0"/>
          <w:marRight w:val="0"/>
          <w:marTop w:val="0"/>
          <w:marBottom w:val="0"/>
          <w:divBdr>
            <w:top w:val="none" w:sz="0" w:space="0" w:color="auto"/>
            <w:left w:val="none" w:sz="0" w:space="0" w:color="auto"/>
            <w:bottom w:val="none" w:sz="0" w:space="0" w:color="auto"/>
            <w:right w:val="none" w:sz="0" w:space="0" w:color="auto"/>
          </w:divBdr>
        </w:div>
        <w:div w:id="788662782">
          <w:marLeft w:val="0"/>
          <w:marRight w:val="0"/>
          <w:marTop w:val="0"/>
          <w:marBottom w:val="0"/>
          <w:divBdr>
            <w:top w:val="none" w:sz="0" w:space="0" w:color="auto"/>
            <w:left w:val="none" w:sz="0" w:space="0" w:color="auto"/>
            <w:bottom w:val="none" w:sz="0" w:space="0" w:color="auto"/>
            <w:right w:val="none" w:sz="0" w:space="0" w:color="auto"/>
          </w:divBdr>
        </w:div>
        <w:div w:id="905846404">
          <w:marLeft w:val="0"/>
          <w:marRight w:val="0"/>
          <w:marTop w:val="0"/>
          <w:marBottom w:val="0"/>
          <w:divBdr>
            <w:top w:val="none" w:sz="0" w:space="0" w:color="auto"/>
            <w:left w:val="none" w:sz="0" w:space="0" w:color="auto"/>
            <w:bottom w:val="none" w:sz="0" w:space="0" w:color="auto"/>
            <w:right w:val="none" w:sz="0" w:space="0" w:color="auto"/>
          </w:divBdr>
        </w:div>
        <w:div w:id="1073357924">
          <w:marLeft w:val="0"/>
          <w:marRight w:val="0"/>
          <w:marTop w:val="0"/>
          <w:marBottom w:val="0"/>
          <w:divBdr>
            <w:top w:val="none" w:sz="0" w:space="0" w:color="auto"/>
            <w:left w:val="none" w:sz="0" w:space="0" w:color="auto"/>
            <w:bottom w:val="none" w:sz="0" w:space="0" w:color="auto"/>
            <w:right w:val="none" w:sz="0" w:space="0" w:color="auto"/>
          </w:divBdr>
        </w:div>
        <w:div w:id="1144083098">
          <w:marLeft w:val="0"/>
          <w:marRight w:val="0"/>
          <w:marTop w:val="0"/>
          <w:marBottom w:val="0"/>
          <w:divBdr>
            <w:top w:val="none" w:sz="0" w:space="0" w:color="auto"/>
            <w:left w:val="none" w:sz="0" w:space="0" w:color="auto"/>
            <w:bottom w:val="none" w:sz="0" w:space="0" w:color="auto"/>
            <w:right w:val="none" w:sz="0" w:space="0" w:color="auto"/>
          </w:divBdr>
        </w:div>
        <w:div w:id="1151824427">
          <w:marLeft w:val="0"/>
          <w:marRight w:val="0"/>
          <w:marTop w:val="0"/>
          <w:marBottom w:val="0"/>
          <w:divBdr>
            <w:top w:val="none" w:sz="0" w:space="0" w:color="auto"/>
            <w:left w:val="none" w:sz="0" w:space="0" w:color="auto"/>
            <w:bottom w:val="none" w:sz="0" w:space="0" w:color="auto"/>
            <w:right w:val="none" w:sz="0" w:space="0" w:color="auto"/>
          </w:divBdr>
        </w:div>
        <w:div w:id="1609973115">
          <w:marLeft w:val="0"/>
          <w:marRight w:val="0"/>
          <w:marTop w:val="0"/>
          <w:marBottom w:val="0"/>
          <w:divBdr>
            <w:top w:val="none" w:sz="0" w:space="0" w:color="auto"/>
            <w:left w:val="none" w:sz="0" w:space="0" w:color="auto"/>
            <w:bottom w:val="none" w:sz="0" w:space="0" w:color="auto"/>
            <w:right w:val="none" w:sz="0" w:space="0" w:color="auto"/>
          </w:divBdr>
        </w:div>
        <w:div w:id="1623343293">
          <w:marLeft w:val="0"/>
          <w:marRight w:val="0"/>
          <w:marTop w:val="0"/>
          <w:marBottom w:val="0"/>
          <w:divBdr>
            <w:top w:val="none" w:sz="0" w:space="0" w:color="auto"/>
            <w:left w:val="none" w:sz="0" w:space="0" w:color="auto"/>
            <w:bottom w:val="none" w:sz="0" w:space="0" w:color="auto"/>
            <w:right w:val="none" w:sz="0" w:space="0" w:color="auto"/>
          </w:divBdr>
        </w:div>
        <w:div w:id="1830364307">
          <w:marLeft w:val="0"/>
          <w:marRight w:val="0"/>
          <w:marTop w:val="0"/>
          <w:marBottom w:val="0"/>
          <w:divBdr>
            <w:top w:val="none" w:sz="0" w:space="0" w:color="auto"/>
            <w:left w:val="none" w:sz="0" w:space="0" w:color="auto"/>
            <w:bottom w:val="none" w:sz="0" w:space="0" w:color="auto"/>
            <w:right w:val="none" w:sz="0" w:space="0" w:color="auto"/>
          </w:divBdr>
        </w:div>
        <w:div w:id="1875456413">
          <w:marLeft w:val="0"/>
          <w:marRight w:val="0"/>
          <w:marTop w:val="0"/>
          <w:marBottom w:val="0"/>
          <w:divBdr>
            <w:top w:val="none" w:sz="0" w:space="0" w:color="auto"/>
            <w:left w:val="none" w:sz="0" w:space="0" w:color="auto"/>
            <w:bottom w:val="none" w:sz="0" w:space="0" w:color="auto"/>
            <w:right w:val="none" w:sz="0" w:space="0" w:color="auto"/>
          </w:divBdr>
        </w:div>
        <w:div w:id="1914581006">
          <w:marLeft w:val="0"/>
          <w:marRight w:val="0"/>
          <w:marTop w:val="0"/>
          <w:marBottom w:val="0"/>
          <w:divBdr>
            <w:top w:val="none" w:sz="0" w:space="0" w:color="auto"/>
            <w:left w:val="none" w:sz="0" w:space="0" w:color="auto"/>
            <w:bottom w:val="none" w:sz="0" w:space="0" w:color="auto"/>
            <w:right w:val="none" w:sz="0" w:space="0" w:color="auto"/>
          </w:divBdr>
        </w:div>
        <w:div w:id="1992976352">
          <w:marLeft w:val="0"/>
          <w:marRight w:val="0"/>
          <w:marTop w:val="0"/>
          <w:marBottom w:val="0"/>
          <w:divBdr>
            <w:top w:val="none" w:sz="0" w:space="0" w:color="auto"/>
            <w:left w:val="none" w:sz="0" w:space="0" w:color="auto"/>
            <w:bottom w:val="none" w:sz="0" w:space="0" w:color="auto"/>
            <w:right w:val="none" w:sz="0" w:space="0" w:color="auto"/>
          </w:divBdr>
        </w:div>
      </w:divsChild>
    </w:div>
    <w:div w:id="299766977">
      <w:bodyDiv w:val="1"/>
      <w:marLeft w:val="0"/>
      <w:marRight w:val="0"/>
      <w:marTop w:val="0"/>
      <w:marBottom w:val="0"/>
      <w:divBdr>
        <w:top w:val="none" w:sz="0" w:space="0" w:color="auto"/>
        <w:left w:val="none" w:sz="0" w:space="0" w:color="auto"/>
        <w:bottom w:val="none" w:sz="0" w:space="0" w:color="auto"/>
        <w:right w:val="none" w:sz="0" w:space="0" w:color="auto"/>
      </w:divBdr>
    </w:div>
    <w:div w:id="323321657">
      <w:bodyDiv w:val="1"/>
      <w:marLeft w:val="0"/>
      <w:marRight w:val="0"/>
      <w:marTop w:val="0"/>
      <w:marBottom w:val="0"/>
      <w:divBdr>
        <w:top w:val="none" w:sz="0" w:space="0" w:color="auto"/>
        <w:left w:val="none" w:sz="0" w:space="0" w:color="auto"/>
        <w:bottom w:val="none" w:sz="0" w:space="0" w:color="auto"/>
        <w:right w:val="none" w:sz="0" w:space="0" w:color="auto"/>
      </w:divBdr>
    </w:div>
    <w:div w:id="336343623">
      <w:bodyDiv w:val="1"/>
      <w:marLeft w:val="0"/>
      <w:marRight w:val="0"/>
      <w:marTop w:val="0"/>
      <w:marBottom w:val="0"/>
      <w:divBdr>
        <w:top w:val="none" w:sz="0" w:space="0" w:color="auto"/>
        <w:left w:val="none" w:sz="0" w:space="0" w:color="auto"/>
        <w:bottom w:val="none" w:sz="0" w:space="0" w:color="auto"/>
        <w:right w:val="none" w:sz="0" w:space="0" w:color="auto"/>
      </w:divBdr>
    </w:div>
    <w:div w:id="384260358">
      <w:bodyDiv w:val="1"/>
      <w:marLeft w:val="0"/>
      <w:marRight w:val="0"/>
      <w:marTop w:val="0"/>
      <w:marBottom w:val="0"/>
      <w:divBdr>
        <w:top w:val="none" w:sz="0" w:space="0" w:color="auto"/>
        <w:left w:val="none" w:sz="0" w:space="0" w:color="auto"/>
        <w:bottom w:val="none" w:sz="0" w:space="0" w:color="auto"/>
        <w:right w:val="none" w:sz="0" w:space="0" w:color="auto"/>
      </w:divBdr>
    </w:div>
    <w:div w:id="608198052">
      <w:bodyDiv w:val="1"/>
      <w:marLeft w:val="0"/>
      <w:marRight w:val="0"/>
      <w:marTop w:val="0"/>
      <w:marBottom w:val="0"/>
      <w:divBdr>
        <w:top w:val="none" w:sz="0" w:space="0" w:color="auto"/>
        <w:left w:val="none" w:sz="0" w:space="0" w:color="auto"/>
        <w:bottom w:val="none" w:sz="0" w:space="0" w:color="auto"/>
        <w:right w:val="none" w:sz="0" w:space="0" w:color="auto"/>
      </w:divBdr>
    </w:div>
    <w:div w:id="647782996">
      <w:bodyDiv w:val="1"/>
      <w:marLeft w:val="0"/>
      <w:marRight w:val="0"/>
      <w:marTop w:val="0"/>
      <w:marBottom w:val="0"/>
      <w:divBdr>
        <w:top w:val="none" w:sz="0" w:space="0" w:color="auto"/>
        <w:left w:val="none" w:sz="0" w:space="0" w:color="auto"/>
        <w:bottom w:val="none" w:sz="0" w:space="0" w:color="auto"/>
        <w:right w:val="none" w:sz="0" w:space="0" w:color="auto"/>
      </w:divBdr>
    </w:div>
    <w:div w:id="721367323">
      <w:bodyDiv w:val="1"/>
      <w:marLeft w:val="0"/>
      <w:marRight w:val="0"/>
      <w:marTop w:val="0"/>
      <w:marBottom w:val="0"/>
      <w:divBdr>
        <w:top w:val="none" w:sz="0" w:space="0" w:color="auto"/>
        <w:left w:val="none" w:sz="0" w:space="0" w:color="auto"/>
        <w:bottom w:val="none" w:sz="0" w:space="0" w:color="auto"/>
        <w:right w:val="none" w:sz="0" w:space="0" w:color="auto"/>
      </w:divBdr>
    </w:div>
    <w:div w:id="746729601">
      <w:bodyDiv w:val="1"/>
      <w:marLeft w:val="0"/>
      <w:marRight w:val="0"/>
      <w:marTop w:val="0"/>
      <w:marBottom w:val="0"/>
      <w:divBdr>
        <w:top w:val="none" w:sz="0" w:space="0" w:color="auto"/>
        <w:left w:val="none" w:sz="0" w:space="0" w:color="auto"/>
        <w:bottom w:val="none" w:sz="0" w:space="0" w:color="auto"/>
        <w:right w:val="none" w:sz="0" w:space="0" w:color="auto"/>
      </w:divBdr>
    </w:div>
    <w:div w:id="754211552">
      <w:bodyDiv w:val="1"/>
      <w:marLeft w:val="0"/>
      <w:marRight w:val="0"/>
      <w:marTop w:val="0"/>
      <w:marBottom w:val="0"/>
      <w:divBdr>
        <w:top w:val="none" w:sz="0" w:space="0" w:color="auto"/>
        <w:left w:val="none" w:sz="0" w:space="0" w:color="auto"/>
        <w:bottom w:val="none" w:sz="0" w:space="0" w:color="auto"/>
        <w:right w:val="none" w:sz="0" w:space="0" w:color="auto"/>
      </w:divBdr>
    </w:div>
    <w:div w:id="915631323">
      <w:bodyDiv w:val="1"/>
      <w:marLeft w:val="0"/>
      <w:marRight w:val="0"/>
      <w:marTop w:val="0"/>
      <w:marBottom w:val="0"/>
      <w:divBdr>
        <w:top w:val="none" w:sz="0" w:space="0" w:color="auto"/>
        <w:left w:val="none" w:sz="0" w:space="0" w:color="auto"/>
        <w:bottom w:val="none" w:sz="0" w:space="0" w:color="auto"/>
        <w:right w:val="none" w:sz="0" w:space="0" w:color="auto"/>
      </w:divBdr>
    </w:div>
    <w:div w:id="958537532">
      <w:bodyDiv w:val="1"/>
      <w:marLeft w:val="0"/>
      <w:marRight w:val="0"/>
      <w:marTop w:val="0"/>
      <w:marBottom w:val="0"/>
      <w:divBdr>
        <w:top w:val="none" w:sz="0" w:space="0" w:color="auto"/>
        <w:left w:val="none" w:sz="0" w:space="0" w:color="auto"/>
        <w:bottom w:val="none" w:sz="0" w:space="0" w:color="auto"/>
        <w:right w:val="none" w:sz="0" w:space="0" w:color="auto"/>
      </w:divBdr>
    </w:div>
    <w:div w:id="968051946">
      <w:bodyDiv w:val="1"/>
      <w:marLeft w:val="0"/>
      <w:marRight w:val="0"/>
      <w:marTop w:val="0"/>
      <w:marBottom w:val="0"/>
      <w:divBdr>
        <w:top w:val="none" w:sz="0" w:space="0" w:color="auto"/>
        <w:left w:val="none" w:sz="0" w:space="0" w:color="auto"/>
        <w:bottom w:val="none" w:sz="0" w:space="0" w:color="auto"/>
        <w:right w:val="none" w:sz="0" w:space="0" w:color="auto"/>
      </w:divBdr>
    </w:div>
    <w:div w:id="1140609874">
      <w:bodyDiv w:val="1"/>
      <w:marLeft w:val="0"/>
      <w:marRight w:val="0"/>
      <w:marTop w:val="0"/>
      <w:marBottom w:val="0"/>
      <w:divBdr>
        <w:top w:val="none" w:sz="0" w:space="0" w:color="auto"/>
        <w:left w:val="none" w:sz="0" w:space="0" w:color="auto"/>
        <w:bottom w:val="none" w:sz="0" w:space="0" w:color="auto"/>
        <w:right w:val="none" w:sz="0" w:space="0" w:color="auto"/>
      </w:divBdr>
    </w:div>
    <w:div w:id="1409424512">
      <w:bodyDiv w:val="1"/>
      <w:marLeft w:val="0"/>
      <w:marRight w:val="0"/>
      <w:marTop w:val="0"/>
      <w:marBottom w:val="0"/>
      <w:divBdr>
        <w:top w:val="none" w:sz="0" w:space="0" w:color="auto"/>
        <w:left w:val="none" w:sz="0" w:space="0" w:color="auto"/>
        <w:bottom w:val="none" w:sz="0" w:space="0" w:color="auto"/>
        <w:right w:val="none" w:sz="0" w:space="0" w:color="auto"/>
      </w:divBdr>
    </w:div>
    <w:div w:id="1558004963">
      <w:bodyDiv w:val="1"/>
      <w:marLeft w:val="0"/>
      <w:marRight w:val="0"/>
      <w:marTop w:val="0"/>
      <w:marBottom w:val="0"/>
      <w:divBdr>
        <w:top w:val="none" w:sz="0" w:space="0" w:color="auto"/>
        <w:left w:val="none" w:sz="0" w:space="0" w:color="auto"/>
        <w:bottom w:val="none" w:sz="0" w:space="0" w:color="auto"/>
        <w:right w:val="none" w:sz="0" w:space="0" w:color="auto"/>
      </w:divBdr>
    </w:div>
    <w:div w:id="1603298627">
      <w:bodyDiv w:val="1"/>
      <w:marLeft w:val="0"/>
      <w:marRight w:val="0"/>
      <w:marTop w:val="0"/>
      <w:marBottom w:val="0"/>
      <w:divBdr>
        <w:top w:val="none" w:sz="0" w:space="0" w:color="auto"/>
        <w:left w:val="none" w:sz="0" w:space="0" w:color="auto"/>
        <w:bottom w:val="none" w:sz="0" w:space="0" w:color="auto"/>
        <w:right w:val="none" w:sz="0" w:space="0" w:color="auto"/>
      </w:divBdr>
    </w:div>
    <w:div w:id="1720088318">
      <w:bodyDiv w:val="1"/>
      <w:marLeft w:val="0"/>
      <w:marRight w:val="0"/>
      <w:marTop w:val="0"/>
      <w:marBottom w:val="0"/>
      <w:divBdr>
        <w:top w:val="none" w:sz="0" w:space="0" w:color="auto"/>
        <w:left w:val="none" w:sz="0" w:space="0" w:color="auto"/>
        <w:bottom w:val="none" w:sz="0" w:space="0" w:color="auto"/>
        <w:right w:val="none" w:sz="0" w:space="0" w:color="auto"/>
      </w:divBdr>
    </w:div>
    <w:div w:id="1728383094">
      <w:bodyDiv w:val="1"/>
      <w:marLeft w:val="0"/>
      <w:marRight w:val="0"/>
      <w:marTop w:val="0"/>
      <w:marBottom w:val="0"/>
      <w:divBdr>
        <w:top w:val="none" w:sz="0" w:space="0" w:color="auto"/>
        <w:left w:val="none" w:sz="0" w:space="0" w:color="auto"/>
        <w:bottom w:val="none" w:sz="0" w:space="0" w:color="auto"/>
        <w:right w:val="none" w:sz="0" w:space="0" w:color="auto"/>
      </w:divBdr>
    </w:div>
    <w:div w:id="1753117552">
      <w:bodyDiv w:val="1"/>
      <w:marLeft w:val="0"/>
      <w:marRight w:val="0"/>
      <w:marTop w:val="0"/>
      <w:marBottom w:val="0"/>
      <w:divBdr>
        <w:top w:val="none" w:sz="0" w:space="0" w:color="auto"/>
        <w:left w:val="none" w:sz="0" w:space="0" w:color="auto"/>
        <w:bottom w:val="none" w:sz="0" w:space="0" w:color="auto"/>
        <w:right w:val="none" w:sz="0" w:space="0" w:color="auto"/>
      </w:divBdr>
    </w:div>
    <w:div w:id="1862083969">
      <w:bodyDiv w:val="1"/>
      <w:marLeft w:val="0"/>
      <w:marRight w:val="0"/>
      <w:marTop w:val="0"/>
      <w:marBottom w:val="0"/>
      <w:divBdr>
        <w:top w:val="none" w:sz="0" w:space="0" w:color="auto"/>
        <w:left w:val="none" w:sz="0" w:space="0" w:color="auto"/>
        <w:bottom w:val="none" w:sz="0" w:space="0" w:color="auto"/>
        <w:right w:val="none" w:sz="0" w:space="0" w:color="auto"/>
      </w:divBdr>
      <w:divsChild>
        <w:div w:id="3635481">
          <w:marLeft w:val="0"/>
          <w:marRight w:val="0"/>
          <w:marTop w:val="0"/>
          <w:marBottom w:val="0"/>
          <w:divBdr>
            <w:top w:val="none" w:sz="0" w:space="0" w:color="auto"/>
            <w:left w:val="none" w:sz="0" w:space="0" w:color="auto"/>
            <w:bottom w:val="none" w:sz="0" w:space="0" w:color="auto"/>
            <w:right w:val="none" w:sz="0" w:space="0" w:color="auto"/>
          </w:divBdr>
        </w:div>
        <w:div w:id="42994125">
          <w:marLeft w:val="0"/>
          <w:marRight w:val="0"/>
          <w:marTop w:val="0"/>
          <w:marBottom w:val="0"/>
          <w:divBdr>
            <w:top w:val="none" w:sz="0" w:space="0" w:color="auto"/>
            <w:left w:val="none" w:sz="0" w:space="0" w:color="auto"/>
            <w:bottom w:val="none" w:sz="0" w:space="0" w:color="auto"/>
            <w:right w:val="none" w:sz="0" w:space="0" w:color="auto"/>
          </w:divBdr>
        </w:div>
        <w:div w:id="336076005">
          <w:marLeft w:val="0"/>
          <w:marRight w:val="0"/>
          <w:marTop w:val="0"/>
          <w:marBottom w:val="0"/>
          <w:divBdr>
            <w:top w:val="none" w:sz="0" w:space="0" w:color="auto"/>
            <w:left w:val="none" w:sz="0" w:space="0" w:color="auto"/>
            <w:bottom w:val="none" w:sz="0" w:space="0" w:color="auto"/>
            <w:right w:val="none" w:sz="0" w:space="0" w:color="auto"/>
          </w:divBdr>
        </w:div>
        <w:div w:id="378674703">
          <w:marLeft w:val="0"/>
          <w:marRight w:val="0"/>
          <w:marTop w:val="0"/>
          <w:marBottom w:val="0"/>
          <w:divBdr>
            <w:top w:val="none" w:sz="0" w:space="0" w:color="auto"/>
            <w:left w:val="none" w:sz="0" w:space="0" w:color="auto"/>
            <w:bottom w:val="none" w:sz="0" w:space="0" w:color="auto"/>
            <w:right w:val="none" w:sz="0" w:space="0" w:color="auto"/>
          </w:divBdr>
        </w:div>
        <w:div w:id="486481602">
          <w:marLeft w:val="0"/>
          <w:marRight w:val="0"/>
          <w:marTop w:val="0"/>
          <w:marBottom w:val="0"/>
          <w:divBdr>
            <w:top w:val="none" w:sz="0" w:space="0" w:color="auto"/>
            <w:left w:val="none" w:sz="0" w:space="0" w:color="auto"/>
            <w:bottom w:val="none" w:sz="0" w:space="0" w:color="auto"/>
            <w:right w:val="none" w:sz="0" w:space="0" w:color="auto"/>
          </w:divBdr>
        </w:div>
        <w:div w:id="536356490">
          <w:marLeft w:val="0"/>
          <w:marRight w:val="0"/>
          <w:marTop w:val="0"/>
          <w:marBottom w:val="0"/>
          <w:divBdr>
            <w:top w:val="none" w:sz="0" w:space="0" w:color="auto"/>
            <w:left w:val="none" w:sz="0" w:space="0" w:color="auto"/>
            <w:bottom w:val="none" w:sz="0" w:space="0" w:color="auto"/>
            <w:right w:val="none" w:sz="0" w:space="0" w:color="auto"/>
          </w:divBdr>
        </w:div>
        <w:div w:id="597445097">
          <w:marLeft w:val="0"/>
          <w:marRight w:val="0"/>
          <w:marTop w:val="0"/>
          <w:marBottom w:val="0"/>
          <w:divBdr>
            <w:top w:val="none" w:sz="0" w:space="0" w:color="auto"/>
            <w:left w:val="none" w:sz="0" w:space="0" w:color="auto"/>
            <w:bottom w:val="none" w:sz="0" w:space="0" w:color="auto"/>
            <w:right w:val="none" w:sz="0" w:space="0" w:color="auto"/>
          </w:divBdr>
        </w:div>
        <w:div w:id="865488965">
          <w:marLeft w:val="0"/>
          <w:marRight w:val="0"/>
          <w:marTop w:val="0"/>
          <w:marBottom w:val="0"/>
          <w:divBdr>
            <w:top w:val="none" w:sz="0" w:space="0" w:color="auto"/>
            <w:left w:val="none" w:sz="0" w:space="0" w:color="auto"/>
            <w:bottom w:val="none" w:sz="0" w:space="0" w:color="auto"/>
            <w:right w:val="none" w:sz="0" w:space="0" w:color="auto"/>
          </w:divBdr>
        </w:div>
        <w:div w:id="878202488">
          <w:marLeft w:val="0"/>
          <w:marRight w:val="0"/>
          <w:marTop w:val="0"/>
          <w:marBottom w:val="0"/>
          <w:divBdr>
            <w:top w:val="none" w:sz="0" w:space="0" w:color="auto"/>
            <w:left w:val="none" w:sz="0" w:space="0" w:color="auto"/>
            <w:bottom w:val="none" w:sz="0" w:space="0" w:color="auto"/>
            <w:right w:val="none" w:sz="0" w:space="0" w:color="auto"/>
          </w:divBdr>
        </w:div>
        <w:div w:id="1292980209">
          <w:marLeft w:val="0"/>
          <w:marRight w:val="0"/>
          <w:marTop w:val="0"/>
          <w:marBottom w:val="0"/>
          <w:divBdr>
            <w:top w:val="none" w:sz="0" w:space="0" w:color="auto"/>
            <w:left w:val="none" w:sz="0" w:space="0" w:color="auto"/>
            <w:bottom w:val="none" w:sz="0" w:space="0" w:color="auto"/>
            <w:right w:val="none" w:sz="0" w:space="0" w:color="auto"/>
          </w:divBdr>
        </w:div>
        <w:div w:id="1320689531">
          <w:marLeft w:val="0"/>
          <w:marRight w:val="0"/>
          <w:marTop w:val="0"/>
          <w:marBottom w:val="0"/>
          <w:divBdr>
            <w:top w:val="none" w:sz="0" w:space="0" w:color="auto"/>
            <w:left w:val="none" w:sz="0" w:space="0" w:color="auto"/>
            <w:bottom w:val="none" w:sz="0" w:space="0" w:color="auto"/>
            <w:right w:val="none" w:sz="0" w:space="0" w:color="auto"/>
          </w:divBdr>
        </w:div>
        <w:div w:id="1597640924">
          <w:marLeft w:val="0"/>
          <w:marRight w:val="0"/>
          <w:marTop w:val="0"/>
          <w:marBottom w:val="0"/>
          <w:divBdr>
            <w:top w:val="none" w:sz="0" w:space="0" w:color="auto"/>
            <w:left w:val="none" w:sz="0" w:space="0" w:color="auto"/>
            <w:bottom w:val="none" w:sz="0" w:space="0" w:color="auto"/>
            <w:right w:val="none" w:sz="0" w:space="0" w:color="auto"/>
          </w:divBdr>
        </w:div>
        <w:div w:id="1698576278">
          <w:marLeft w:val="0"/>
          <w:marRight w:val="0"/>
          <w:marTop w:val="0"/>
          <w:marBottom w:val="0"/>
          <w:divBdr>
            <w:top w:val="none" w:sz="0" w:space="0" w:color="auto"/>
            <w:left w:val="none" w:sz="0" w:space="0" w:color="auto"/>
            <w:bottom w:val="none" w:sz="0" w:space="0" w:color="auto"/>
            <w:right w:val="none" w:sz="0" w:space="0" w:color="auto"/>
          </w:divBdr>
        </w:div>
        <w:div w:id="1748764113">
          <w:marLeft w:val="0"/>
          <w:marRight w:val="0"/>
          <w:marTop w:val="0"/>
          <w:marBottom w:val="0"/>
          <w:divBdr>
            <w:top w:val="none" w:sz="0" w:space="0" w:color="auto"/>
            <w:left w:val="none" w:sz="0" w:space="0" w:color="auto"/>
            <w:bottom w:val="none" w:sz="0" w:space="0" w:color="auto"/>
            <w:right w:val="none" w:sz="0" w:space="0" w:color="auto"/>
          </w:divBdr>
        </w:div>
        <w:div w:id="1980573757">
          <w:marLeft w:val="0"/>
          <w:marRight w:val="0"/>
          <w:marTop w:val="0"/>
          <w:marBottom w:val="0"/>
          <w:divBdr>
            <w:top w:val="none" w:sz="0" w:space="0" w:color="auto"/>
            <w:left w:val="none" w:sz="0" w:space="0" w:color="auto"/>
            <w:bottom w:val="none" w:sz="0" w:space="0" w:color="auto"/>
            <w:right w:val="none" w:sz="0" w:space="0" w:color="auto"/>
          </w:divBdr>
        </w:div>
        <w:div w:id="2028407381">
          <w:marLeft w:val="0"/>
          <w:marRight w:val="0"/>
          <w:marTop w:val="0"/>
          <w:marBottom w:val="0"/>
          <w:divBdr>
            <w:top w:val="none" w:sz="0" w:space="0" w:color="auto"/>
            <w:left w:val="none" w:sz="0" w:space="0" w:color="auto"/>
            <w:bottom w:val="none" w:sz="0" w:space="0" w:color="auto"/>
            <w:right w:val="none" w:sz="0" w:space="0" w:color="auto"/>
          </w:divBdr>
        </w:div>
        <w:div w:id="2082677438">
          <w:marLeft w:val="0"/>
          <w:marRight w:val="0"/>
          <w:marTop w:val="0"/>
          <w:marBottom w:val="0"/>
          <w:divBdr>
            <w:top w:val="none" w:sz="0" w:space="0" w:color="auto"/>
            <w:left w:val="none" w:sz="0" w:space="0" w:color="auto"/>
            <w:bottom w:val="none" w:sz="0" w:space="0" w:color="auto"/>
            <w:right w:val="none" w:sz="0" w:space="0" w:color="auto"/>
          </w:divBdr>
        </w:div>
        <w:div w:id="2129928731">
          <w:marLeft w:val="0"/>
          <w:marRight w:val="0"/>
          <w:marTop w:val="0"/>
          <w:marBottom w:val="0"/>
          <w:divBdr>
            <w:top w:val="none" w:sz="0" w:space="0" w:color="auto"/>
            <w:left w:val="none" w:sz="0" w:space="0" w:color="auto"/>
            <w:bottom w:val="none" w:sz="0" w:space="0" w:color="auto"/>
            <w:right w:val="none" w:sz="0" w:space="0" w:color="auto"/>
          </w:divBdr>
        </w:div>
        <w:div w:id="2131194895">
          <w:marLeft w:val="0"/>
          <w:marRight w:val="0"/>
          <w:marTop w:val="0"/>
          <w:marBottom w:val="0"/>
          <w:divBdr>
            <w:top w:val="none" w:sz="0" w:space="0" w:color="auto"/>
            <w:left w:val="none" w:sz="0" w:space="0" w:color="auto"/>
            <w:bottom w:val="none" w:sz="0" w:space="0" w:color="auto"/>
            <w:right w:val="none" w:sz="0" w:space="0" w:color="auto"/>
          </w:divBdr>
        </w:div>
      </w:divsChild>
    </w:div>
    <w:div w:id="1917395109">
      <w:bodyDiv w:val="1"/>
      <w:marLeft w:val="0"/>
      <w:marRight w:val="0"/>
      <w:marTop w:val="0"/>
      <w:marBottom w:val="0"/>
      <w:divBdr>
        <w:top w:val="none" w:sz="0" w:space="0" w:color="auto"/>
        <w:left w:val="none" w:sz="0" w:space="0" w:color="auto"/>
        <w:bottom w:val="none" w:sz="0" w:space="0" w:color="auto"/>
        <w:right w:val="none" w:sz="0" w:space="0" w:color="auto"/>
      </w:divBdr>
    </w:div>
    <w:div w:id="1954556074">
      <w:bodyDiv w:val="1"/>
      <w:marLeft w:val="0"/>
      <w:marRight w:val="0"/>
      <w:marTop w:val="0"/>
      <w:marBottom w:val="0"/>
      <w:divBdr>
        <w:top w:val="none" w:sz="0" w:space="0" w:color="auto"/>
        <w:left w:val="none" w:sz="0" w:space="0" w:color="auto"/>
        <w:bottom w:val="none" w:sz="0" w:space="0" w:color="auto"/>
        <w:right w:val="none" w:sz="0" w:space="0" w:color="auto"/>
      </w:divBdr>
    </w:div>
    <w:div w:id="202493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mi.bund.de/SharedDocs/kurzmeldungen/DE/2018/08/verwaltungsabsprache-spanien.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diakonie.de/fileadmin/user_upload/02_2018_Familienzusammenfu__hrungen.pdf" TargetMode="External"/><Relationship Id="rId4" Type="http://schemas.openxmlformats.org/officeDocument/2006/relationships/settings" Target="settings.xml"/><Relationship Id="rId9" Type="http://schemas.openxmlformats.org/officeDocument/2006/relationships/hyperlink" Target="https://www.institut-fuer-menschenrechte.de/fileadmin/user_upload/Publikationen/Stellungnahmen/Stellungnahme_Zurueckweisungen_von_Fluechtlingen_an_der_Grenze_Zweite_Aufla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50610-B709-4B99-90BC-A943003A7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2576</Words>
  <Characters>18177</Characters>
  <Application>Microsoft Office Word</Application>
  <DocSecurity>4</DocSecurity>
  <Lines>151</Lines>
  <Paragraphs>41</Paragraphs>
  <ScaleCrop>false</ScaleCrop>
  <HeadingPairs>
    <vt:vector size="2" baseType="variant">
      <vt:variant>
        <vt:lpstr>Titel</vt:lpstr>
      </vt:variant>
      <vt:variant>
        <vt:i4>1</vt:i4>
      </vt:variant>
    </vt:vector>
  </HeadingPairs>
  <TitlesOfParts>
    <vt:vector size="1" baseType="lpstr">
      <vt:lpstr>Betreffzeile, bei Nichtbedarf einfach weglassen</vt:lpstr>
    </vt:vector>
  </TitlesOfParts>
  <Company>Fraktion DIE LINKE.</Company>
  <LinksUpToDate>false</LinksUpToDate>
  <CharactersWithSpaces>20712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bei Nichtbedarf einfach weglassen</dc:title>
  <dc:subject/>
  <dc:creator>thohlfeld</dc:creator>
  <cp:keywords/>
  <cp:lastModifiedBy>Jelpke Ulla Mitarbeiter 06</cp:lastModifiedBy>
  <cp:revision>2</cp:revision>
  <cp:lastPrinted>2018-02-26T08:43:00Z</cp:lastPrinted>
  <dcterms:created xsi:type="dcterms:W3CDTF">2018-09-06T07:48:00Z</dcterms:created>
  <dcterms:modified xsi:type="dcterms:W3CDTF">2018-09-06T07:48:00Z</dcterms:modified>
</cp:coreProperties>
</file>